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C70" w:rsidRPr="00B8679D" w:rsidRDefault="001E2C70" w:rsidP="00FF2414">
      <w:pPr>
        <w:pStyle w:val="HTMLPreformatted"/>
        <w:rPr>
          <w:rFonts w:ascii="Times New Roman" w:hAnsi="Times New Roman" w:cs="Times New Roman"/>
          <w:b/>
          <w:bCs/>
          <w:sz w:val="24"/>
          <w:szCs w:val="24"/>
          <w:lang w:val="sr-Cyrl-RS"/>
        </w:rPr>
      </w:pPr>
      <w:r w:rsidRPr="00B8679D">
        <w:rPr>
          <w:rFonts w:ascii="Times New Roman" w:hAnsi="Times New Roman" w:cs="Times New Roman"/>
          <w:b/>
          <w:bCs/>
          <w:sz w:val="24"/>
          <w:szCs w:val="24"/>
          <w:lang w:val="sr-Cyrl-RS"/>
        </w:rPr>
        <w:t xml:space="preserve">ЈАВНО САОПШТЕЊЕ ФАТФ ОД </w:t>
      </w:r>
      <w:r w:rsidR="00607331" w:rsidRPr="00B8679D">
        <w:rPr>
          <w:rFonts w:ascii="Times New Roman" w:hAnsi="Times New Roman" w:cs="Times New Roman"/>
          <w:b/>
          <w:bCs/>
          <w:sz w:val="24"/>
          <w:szCs w:val="24"/>
          <w:lang w:val="sr"/>
        </w:rPr>
        <w:t>13.02.2026</w:t>
      </w:r>
      <w:r w:rsidR="00EA7351" w:rsidRPr="00B8679D">
        <w:rPr>
          <w:rFonts w:ascii="Times New Roman" w:hAnsi="Times New Roman" w:cs="Times New Roman"/>
          <w:b/>
          <w:bCs/>
          <w:sz w:val="24"/>
          <w:szCs w:val="24"/>
          <w:lang w:val="sr"/>
        </w:rPr>
        <w:t xml:space="preserve">. </w:t>
      </w:r>
      <w:r w:rsidRPr="00B8679D">
        <w:rPr>
          <w:rFonts w:ascii="Times New Roman" w:hAnsi="Times New Roman" w:cs="Times New Roman"/>
          <w:b/>
          <w:bCs/>
          <w:sz w:val="24"/>
          <w:szCs w:val="24"/>
          <w:lang w:val="sr-Cyrl-RS"/>
        </w:rPr>
        <w:t xml:space="preserve">ГОДИНЕ </w:t>
      </w:r>
    </w:p>
    <w:p w:rsidR="00FF2414" w:rsidRPr="00B8679D" w:rsidRDefault="001E2C70" w:rsidP="00FF2414">
      <w:pPr>
        <w:pStyle w:val="HTMLPreformatted"/>
        <w:rPr>
          <w:rFonts w:ascii="Times New Roman" w:hAnsi="Times New Roman" w:cs="Times New Roman"/>
          <w:sz w:val="24"/>
          <w:szCs w:val="24"/>
          <w:lang w:val="sr-Latn-RS"/>
        </w:rPr>
      </w:pPr>
      <w:r w:rsidRPr="00B8679D">
        <w:rPr>
          <w:rFonts w:ascii="Times New Roman" w:hAnsi="Times New Roman" w:cs="Times New Roman"/>
          <w:b/>
          <w:bCs/>
          <w:sz w:val="24"/>
          <w:szCs w:val="24"/>
          <w:lang w:val="sr-Cyrl-RS"/>
        </w:rPr>
        <w:t>(</w:t>
      </w:r>
      <w:hyperlink r:id="rId8" w:history="1">
        <w:r w:rsidR="00607331" w:rsidRPr="00B8679D">
          <w:rPr>
            <w:rStyle w:val="Hyperlink"/>
            <w:rFonts w:ascii="Times New Roman" w:hAnsi="Times New Roman" w:cs="Times New Roman"/>
            <w:b/>
            <w:bCs/>
            <w:sz w:val="24"/>
            <w:szCs w:val="24"/>
            <w:lang w:val="sr-Cyrl-RS"/>
          </w:rPr>
          <w:t>https://www.fatf-gafi.org/content/fatf-gafi/en/publications/High-risk-and-other-monitored-jurisdictions/Call-for-action-february-2026.html</w:t>
        </w:r>
      </w:hyperlink>
      <w:r w:rsidR="00607331" w:rsidRPr="00B8679D">
        <w:rPr>
          <w:rFonts w:ascii="Times New Roman" w:hAnsi="Times New Roman" w:cs="Times New Roman"/>
          <w:b/>
          <w:bCs/>
          <w:sz w:val="24"/>
          <w:szCs w:val="24"/>
          <w:lang w:val="sr-Latn-RS"/>
        </w:rPr>
        <w:t>)</w:t>
      </w:r>
    </w:p>
    <w:p w:rsidR="003324E4" w:rsidRPr="00B8679D" w:rsidRDefault="00607331" w:rsidP="00C454F6">
      <w:pPr>
        <w:pStyle w:val="NormalWeb"/>
        <w:jc w:val="both"/>
      </w:pPr>
      <w:r w:rsidRPr="00B8679D">
        <w:rPr>
          <w:b/>
          <w:bCs/>
          <w:lang w:val="sr-Cyrl-RS"/>
        </w:rPr>
        <w:t>Мексико</w:t>
      </w:r>
      <w:r w:rsidR="002E5E5D" w:rsidRPr="00B8679D">
        <w:rPr>
          <w:b/>
          <w:bCs/>
          <w:lang w:val="sr"/>
        </w:rPr>
        <w:t xml:space="preserve">, </w:t>
      </w:r>
      <w:r w:rsidRPr="00B8679D">
        <w:rPr>
          <w:b/>
          <w:bCs/>
          <w:lang w:val="sr-Cyrl-RS"/>
        </w:rPr>
        <w:t>13.02.2026</w:t>
      </w:r>
      <w:r w:rsidR="003324E4" w:rsidRPr="00B8679D">
        <w:rPr>
          <w:b/>
          <w:bCs/>
          <w:lang w:val="sr"/>
        </w:rPr>
        <w:t>.године</w:t>
      </w:r>
      <w:r w:rsidR="003324E4" w:rsidRPr="00B8679D">
        <w:rPr>
          <w:lang w:val="sr"/>
        </w:rPr>
        <w:t xml:space="preserve"> Високоризичне јурисдикције имају значајне стратешке недостатке у својим системима за борбу против прања новца, финансирања тероризма и финансирања ширења оружја за масовну уништење.  За све државе препознате као високоризичне ФАТФ позива све чланице и апелује на све јурисдикције да примењују појачане радње и мере а у најозбиљнијим случајевима позивају се државе да примењују противмере како би заштитиле међународни финансијски систем од ризика прања новца, финансирања тероризма и финансирања ширења оружја за масовно уништење (ПН/ФТ/ФШОМУ) који проистичу из те државе.  Ова листа се често екстерно зове  </w:t>
      </w:r>
      <w:r w:rsidR="003324E4" w:rsidRPr="00B8679D">
        <w:rPr>
          <w:i/>
          <w:iCs/>
          <w:lang w:val="sr"/>
        </w:rPr>
        <w:t xml:space="preserve">црна листа. </w:t>
      </w:r>
      <w:r w:rsidR="003324E4" w:rsidRPr="00B8679D">
        <w:rPr>
          <w:lang w:val="sr"/>
        </w:rPr>
        <w:t> </w:t>
      </w:r>
    </w:p>
    <w:p w:rsidR="003324E4" w:rsidRPr="00B8679D" w:rsidRDefault="003324E4" w:rsidP="00C454F6">
      <w:pPr>
        <w:pStyle w:val="NormalWeb"/>
        <w:jc w:val="both"/>
      </w:pPr>
      <w:r w:rsidRPr="00B8679D">
        <w:rPr>
          <w:lang w:val="sr"/>
        </w:rPr>
        <w:t>Од фебруара 2020. годи</w:t>
      </w:r>
      <w:r w:rsidR="00C1443E" w:rsidRPr="00B8679D">
        <w:rPr>
          <w:lang w:val="sr"/>
        </w:rPr>
        <w:t xml:space="preserve">не Иран је известио у јануару, </w:t>
      </w:r>
      <w:r w:rsidRPr="00B8679D">
        <w:rPr>
          <w:lang w:val="sr"/>
        </w:rPr>
        <w:t>августу</w:t>
      </w:r>
      <w:r w:rsidR="00C1443E" w:rsidRPr="00B8679D">
        <w:rPr>
          <w:lang w:val="sr-Cyrl-RS"/>
        </w:rPr>
        <w:t xml:space="preserve"> и децембру</w:t>
      </w:r>
      <w:r w:rsidRPr="00B8679D">
        <w:rPr>
          <w:lang w:val="sr"/>
        </w:rPr>
        <w:t xml:space="preserve"> 2024. </w:t>
      </w:r>
      <w:r w:rsidR="00C1443E" w:rsidRPr="00B8679D">
        <w:rPr>
          <w:lang w:val="sr-Cyrl-RS"/>
        </w:rPr>
        <w:t xml:space="preserve">и августу </w:t>
      </w:r>
      <w:r w:rsidR="00607331" w:rsidRPr="00B8679D">
        <w:rPr>
          <w:lang w:val="sr-Cyrl-RS"/>
        </w:rPr>
        <w:t xml:space="preserve">и новембру </w:t>
      </w:r>
      <w:r w:rsidR="00C1443E" w:rsidRPr="00B8679D">
        <w:rPr>
          <w:lang w:val="sr-Cyrl-RS"/>
        </w:rPr>
        <w:t xml:space="preserve">2025. </w:t>
      </w:r>
      <w:r w:rsidRPr="00B8679D">
        <w:rPr>
          <w:lang w:val="sr"/>
        </w:rPr>
        <w:t>године да нема материјалних промена у статусу акционог плана.  </w:t>
      </w:r>
    </w:p>
    <w:p w:rsidR="003324E4" w:rsidRPr="00B8679D" w:rsidRDefault="003324E4" w:rsidP="00C454F6">
      <w:pPr>
        <w:pStyle w:val="NormalWeb"/>
        <w:jc w:val="both"/>
      </w:pPr>
      <w:r w:rsidRPr="00B8679D">
        <w:rPr>
          <w:lang w:val="sr"/>
        </w:rPr>
        <w:t xml:space="preserve">С обзиром на повишене ризике од финансирања ширења ОМУ, ФАТФ поново упућује позив да се примене противмере на ове високоризичне јурисдикције. </w:t>
      </w:r>
    </w:p>
    <w:p w:rsidR="00960359" w:rsidRPr="00B8679D" w:rsidRDefault="003324E4" w:rsidP="00960359">
      <w:pPr>
        <w:pStyle w:val="Heading5"/>
        <w:jc w:val="both"/>
        <w:rPr>
          <w:rFonts w:ascii="Times New Roman" w:hAnsi="Times New Roman"/>
          <w:bCs w:val="0"/>
          <w:i w:val="0"/>
          <w:iCs w:val="0"/>
          <w:sz w:val="24"/>
          <w:szCs w:val="24"/>
          <w:u w:val="single"/>
        </w:rPr>
      </w:pPr>
      <w:r w:rsidRPr="00B8679D">
        <w:rPr>
          <w:rFonts w:ascii="Times New Roman" w:hAnsi="Times New Roman"/>
          <w:i w:val="0"/>
          <w:iCs w:val="0"/>
          <w:sz w:val="24"/>
          <w:szCs w:val="24"/>
          <w:u w:val="single"/>
          <w:lang w:val="sr"/>
        </w:rPr>
        <w:t xml:space="preserve">Јурисдикције на које се односи позив који је ФАТФ упутио својим чланицама и другим јурисдикцијама за примену противмера - </w:t>
      </w:r>
      <w:r w:rsidRPr="00B8679D">
        <w:rPr>
          <w:rFonts w:ascii="Times New Roman" w:hAnsi="Times New Roman"/>
          <w:sz w:val="24"/>
          <w:szCs w:val="24"/>
          <w:u w:val="single"/>
          <w:lang w:val="sr"/>
        </w:rPr>
        <w:t>црна листа</w:t>
      </w:r>
    </w:p>
    <w:p w:rsidR="00960359" w:rsidRPr="00B8679D" w:rsidRDefault="00960359" w:rsidP="00960359">
      <w:pPr>
        <w:rPr>
          <w:rFonts w:ascii="Times New Roman" w:hAnsi="Times New Roman"/>
          <w:sz w:val="24"/>
          <w:szCs w:val="24"/>
        </w:rPr>
      </w:pPr>
    </w:p>
    <w:p w:rsidR="00DC7055" w:rsidRPr="00B8679D" w:rsidRDefault="00DC7055" w:rsidP="00C454F6">
      <w:pPr>
        <w:spacing w:after="0"/>
        <w:jc w:val="both"/>
        <w:rPr>
          <w:rFonts w:ascii="Times New Roman" w:eastAsia="Times New Roman" w:hAnsi="Times New Roman"/>
          <w:b/>
          <w:sz w:val="24"/>
          <w:szCs w:val="24"/>
        </w:rPr>
      </w:pPr>
      <w:r w:rsidRPr="00B8679D">
        <w:rPr>
          <w:rFonts w:ascii="Times New Roman" w:eastAsia="Times New Roman" w:hAnsi="Times New Roman"/>
          <w:b/>
          <w:bCs/>
          <w:sz w:val="24"/>
          <w:szCs w:val="24"/>
          <w:lang w:val="sr"/>
        </w:rPr>
        <w:t>Д</w:t>
      </w:r>
      <w:r w:rsidR="005F4B0F" w:rsidRPr="00B8679D">
        <w:rPr>
          <w:rFonts w:ascii="Times New Roman" w:eastAsia="Times New Roman" w:hAnsi="Times New Roman"/>
          <w:b/>
          <w:bCs/>
          <w:sz w:val="24"/>
          <w:szCs w:val="24"/>
          <w:lang w:val="sr-Cyrl-RS"/>
        </w:rPr>
        <w:t>ЕМОКРАТСКА НАРОДНА РЕПУБЛИКА КОРЕЈА</w:t>
      </w:r>
      <w:r w:rsidRPr="00B8679D">
        <w:rPr>
          <w:rFonts w:ascii="Times New Roman" w:eastAsia="Times New Roman" w:hAnsi="Times New Roman"/>
          <w:b/>
          <w:bCs/>
          <w:sz w:val="24"/>
          <w:szCs w:val="24"/>
          <w:lang w:val="sr"/>
        </w:rPr>
        <w:t xml:space="preserve"> (ДНРК)</w:t>
      </w:r>
    </w:p>
    <w:p w:rsidR="00DC7055" w:rsidRPr="00B8679D" w:rsidRDefault="00DC7055" w:rsidP="00C454F6">
      <w:pPr>
        <w:spacing w:after="0"/>
        <w:jc w:val="both"/>
        <w:rPr>
          <w:rFonts w:ascii="Times New Roman" w:eastAsia="Times New Roman" w:hAnsi="Times New Roman"/>
          <w:b/>
          <w:sz w:val="24"/>
          <w:szCs w:val="24"/>
        </w:rPr>
      </w:pPr>
    </w:p>
    <w:p w:rsidR="00DC7055" w:rsidRPr="00B8679D" w:rsidRDefault="00DC7055" w:rsidP="00C454F6">
      <w:pPr>
        <w:spacing w:after="0"/>
        <w:jc w:val="both"/>
        <w:rPr>
          <w:rFonts w:ascii="Times New Roman" w:eastAsia="Times New Roman" w:hAnsi="Times New Roman"/>
          <w:sz w:val="24"/>
          <w:szCs w:val="24"/>
        </w:rPr>
      </w:pPr>
      <w:r w:rsidRPr="00B8679D">
        <w:rPr>
          <w:rFonts w:ascii="Times New Roman" w:eastAsia="Times New Roman" w:hAnsi="Times New Roman"/>
          <w:sz w:val="24"/>
          <w:szCs w:val="24"/>
          <w:lang w:val="sr"/>
        </w:rPr>
        <w:t>Надовезујући се на своја саопштења у претходној деценији ФАТФ је и даље забринут због тога што ДНРК још увек не успева да  реши значајне недостатке у свом систему за борбу против прања новца и финансирања тероризма (БППН/ФТ) и због незаконитих активности ДНРК у вези са ширењем оружја за масовно уништење (ОМУ) и финансирањем истог,</w:t>
      </w:r>
      <w:r w:rsidR="00C1443E" w:rsidRPr="00B8679D">
        <w:rPr>
          <w:rFonts w:ascii="Times New Roman" w:eastAsia="Times New Roman" w:hAnsi="Times New Roman"/>
          <w:sz w:val="24"/>
          <w:szCs w:val="24"/>
          <w:lang w:val="sr-Cyrl-RS"/>
        </w:rPr>
        <w:t xml:space="preserve"> </w:t>
      </w:r>
      <w:r w:rsidRPr="00B8679D">
        <w:rPr>
          <w:rFonts w:ascii="Times New Roman" w:eastAsia="Times New Roman" w:hAnsi="Times New Roman"/>
          <w:sz w:val="24"/>
          <w:szCs w:val="24"/>
          <w:lang w:val="sr"/>
        </w:rPr>
        <w:t>што представља озбиљне претње.</w:t>
      </w:r>
    </w:p>
    <w:p w:rsidR="00DC7055" w:rsidRPr="00B8679D" w:rsidRDefault="00DC7055" w:rsidP="00C454F6">
      <w:pPr>
        <w:spacing w:after="0"/>
        <w:jc w:val="both"/>
        <w:rPr>
          <w:rFonts w:ascii="Times New Roman" w:eastAsia="Times New Roman" w:hAnsi="Times New Roman"/>
          <w:sz w:val="24"/>
          <w:szCs w:val="24"/>
        </w:rPr>
      </w:pPr>
      <w:r w:rsidRPr="00B8679D">
        <w:rPr>
          <w:rFonts w:ascii="Times New Roman" w:eastAsia="Times New Roman" w:hAnsi="Times New Roman"/>
          <w:sz w:val="24"/>
          <w:szCs w:val="24"/>
          <w:lang w:val="sr"/>
        </w:rPr>
        <w:t>ФАТФ континуирано од 2011. године наглашава потребу  да све државе одлучно примењују циљане финансијске санкције у складу са Резолуцијама СБУН и да примењују следеће противмере да би заштитиле своје финансијске системе од претње прања новца, финансирања тероризма и финансирања пролиферације, која проистиче из ДНРК: </w:t>
      </w:r>
    </w:p>
    <w:p w:rsidR="00DC7055" w:rsidRPr="00B8679D" w:rsidRDefault="00DC7055" w:rsidP="00C454F6">
      <w:pPr>
        <w:numPr>
          <w:ilvl w:val="0"/>
          <w:numId w:val="1"/>
        </w:numPr>
        <w:spacing w:after="0"/>
        <w:jc w:val="both"/>
        <w:rPr>
          <w:rFonts w:ascii="Times New Roman" w:eastAsia="Times New Roman" w:hAnsi="Times New Roman"/>
          <w:sz w:val="24"/>
          <w:szCs w:val="24"/>
        </w:rPr>
      </w:pPr>
      <w:r w:rsidRPr="00B8679D">
        <w:rPr>
          <w:rFonts w:ascii="Times New Roman" w:eastAsia="Times New Roman" w:hAnsi="Times New Roman"/>
          <w:sz w:val="24"/>
          <w:szCs w:val="24"/>
          <w:lang w:val="sr"/>
        </w:rPr>
        <w:t>-Раскидање кореспондентских односа са банкама из ДНРК;</w:t>
      </w:r>
    </w:p>
    <w:p w:rsidR="00DC7055" w:rsidRPr="00B8679D" w:rsidRDefault="00DC7055" w:rsidP="00C454F6">
      <w:pPr>
        <w:numPr>
          <w:ilvl w:val="0"/>
          <w:numId w:val="1"/>
        </w:numPr>
        <w:spacing w:after="0"/>
        <w:jc w:val="both"/>
        <w:rPr>
          <w:rFonts w:ascii="Times New Roman" w:eastAsia="Times New Roman" w:hAnsi="Times New Roman"/>
          <w:sz w:val="24"/>
          <w:szCs w:val="24"/>
        </w:rPr>
      </w:pPr>
      <w:r w:rsidRPr="00B8679D">
        <w:rPr>
          <w:rFonts w:ascii="Times New Roman" w:eastAsia="Times New Roman" w:hAnsi="Times New Roman"/>
          <w:sz w:val="24"/>
          <w:szCs w:val="24"/>
          <w:lang w:val="sr"/>
        </w:rPr>
        <w:t>-Затварање свих подружница или филијала банака из ДНРК на својој територији; и</w:t>
      </w:r>
    </w:p>
    <w:p w:rsidR="00DC7055" w:rsidRPr="00B8679D" w:rsidRDefault="00DC7055" w:rsidP="00C454F6">
      <w:pPr>
        <w:numPr>
          <w:ilvl w:val="0"/>
          <w:numId w:val="1"/>
        </w:numPr>
        <w:spacing w:after="0"/>
        <w:jc w:val="both"/>
        <w:rPr>
          <w:rFonts w:ascii="Times New Roman" w:eastAsia="Times New Roman" w:hAnsi="Times New Roman"/>
          <w:sz w:val="24"/>
          <w:szCs w:val="24"/>
        </w:rPr>
      </w:pPr>
      <w:r w:rsidRPr="00B8679D">
        <w:rPr>
          <w:rFonts w:ascii="Times New Roman" w:eastAsia="Times New Roman" w:hAnsi="Times New Roman"/>
          <w:sz w:val="24"/>
          <w:szCs w:val="24"/>
          <w:lang w:val="sr"/>
        </w:rPr>
        <w:t>- Ограничавање пословних односа и финансијских трансакција са лицима из ДНРК.  </w:t>
      </w:r>
    </w:p>
    <w:p w:rsidR="00DC7055" w:rsidRPr="00B8679D" w:rsidRDefault="00DC7055" w:rsidP="00C454F6">
      <w:pPr>
        <w:spacing w:after="0"/>
        <w:jc w:val="both"/>
        <w:rPr>
          <w:rFonts w:ascii="Times New Roman" w:eastAsia="Times New Roman" w:hAnsi="Times New Roman"/>
          <w:sz w:val="24"/>
          <w:szCs w:val="24"/>
        </w:rPr>
      </w:pPr>
      <w:r w:rsidRPr="00B8679D">
        <w:rPr>
          <w:rFonts w:ascii="Times New Roman" w:eastAsia="Times New Roman" w:hAnsi="Times New Roman"/>
          <w:sz w:val="24"/>
          <w:szCs w:val="24"/>
          <w:lang w:val="sr"/>
        </w:rPr>
        <w:t xml:space="preserve">Упркос овим позивима, ДНРК је повећала повезаност са међународним финансијским системом, што повећава ризике од финансирања ширења ОМУ, што је ФАТФ и констатовао у фебруару 2024. године. Ово захтева већи опрез и поновну имплементацију и спровођење ових противмера против ДНРК.  Као што је наведено у РСБУН 2270, ДНРК учестало користи параван компаније, фантомске компаније, заједничка улагања и нетранспарентне </w:t>
      </w:r>
      <w:r w:rsidRPr="00B8679D">
        <w:rPr>
          <w:rFonts w:ascii="Times New Roman" w:eastAsia="Times New Roman" w:hAnsi="Times New Roman"/>
          <w:sz w:val="24"/>
          <w:szCs w:val="24"/>
          <w:lang w:val="sr"/>
        </w:rPr>
        <w:lastRenderedPageBreak/>
        <w:t xml:space="preserve">власничке структуре у сврхе кршења санкција.  ФАТФ као такав подстиче своје чланице и све државе да примењују појачане радње и мере према ДНРК и могућности да иста извршава трансакције за свој рачун. </w:t>
      </w:r>
    </w:p>
    <w:p w:rsidR="00DC7055" w:rsidRPr="00B8679D" w:rsidRDefault="00DC7055" w:rsidP="00C454F6">
      <w:pPr>
        <w:spacing w:after="0"/>
        <w:jc w:val="both"/>
        <w:rPr>
          <w:rFonts w:ascii="Times New Roman" w:eastAsia="Times New Roman" w:hAnsi="Times New Roman"/>
          <w:sz w:val="24"/>
          <w:szCs w:val="24"/>
        </w:rPr>
      </w:pPr>
      <w:r w:rsidRPr="00B8679D">
        <w:rPr>
          <w:rFonts w:ascii="Times New Roman" w:eastAsia="Times New Roman" w:hAnsi="Times New Roman"/>
          <w:sz w:val="24"/>
          <w:szCs w:val="24"/>
          <w:lang w:val="sr"/>
        </w:rPr>
        <w:t xml:space="preserve">ФАТФ такође апелује на државе да адекватно процене и објасне појачани ризик од финансирања ширења ОМУ већом финансијском повезаношћу, како је наведено, нарочито пошто следећи круг процена захтева од држава да адекватно процене ризике од ФП према Препоруци 1  и Непосредном резултату 11. Могућност прибављања поузданих и веродостојних информација које помажу у процени ризика од ФП у вези са ДНРК отежана је недавним истеком мандата Панела експерата из Комитета основаног према Резолуцији 1718.  Стога ће ФАТФ пратити спровођење мера за усклађивање са циљаним финансијским санкцијама и противмера према ДНРК. </w:t>
      </w:r>
    </w:p>
    <w:p w:rsidR="00DC7055" w:rsidRPr="00B8679D" w:rsidRDefault="00DC7055" w:rsidP="00C454F6">
      <w:pPr>
        <w:pStyle w:val="Heading3"/>
        <w:jc w:val="both"/>
        <w:rPr>
          <w:rFonts w:ascii="Times New Roman" w:hAnsi="Times New Roman"/>
          <w:bCs w:val="0"/>
          <w:sz w:val="24"/>
          <w:szCs w:val="24"/>
        </w:rPr>
      </w:pPr>
      <w:r w:rsidRPr="00B8679D">
        <w:rPr>
          <w:rFonts w:ascii="Times New Roman" w:hAnsi="Times New Roman"/>
          <w:sz w:val="24"/>
          <w:szCs w:val="24"/>
          <w:lang w:val="sr"/>
        </w:rPr>
        <w:t>ИРАН</w:t>
      </w:r>
    </w:p>
    <w:p w:rsidR="005F4B0F" w:rsidRPr="00B8679D" w:rsidRDefault="00DA4CE3" w:rsidP="00DA4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sr"/>
        </w:rPr>
      </w:pPr>
      <w:r w:rsidRPr="00B8679D">
        <w:rPr>
          <w:rFonts w:ascii="Times New Roman" w:eastAsia="Times New Roman" w:hAnsi="Times New Roman"/>
          <w:sz w:val="24"/>
          <w:szCs w:val="24"/>
          <w:lang w:val="sr"/>
        </w:rPr>
        <w:t xml:space="preserve">ФАТФ </w:t>
      </w:r>
      <w:r w:rsidRPr="00B8679D">
        <w:rPr>
          <w:rFonts w:ascii="Times New Roman" w:eastAsia="Times New Roman" w:hAnsi="Times New Roman"/>
          <w:sz w:val="24"/>
          <w:szCs w:val="24"/>
          <w:lang w:val="sr-Cyrl-RS"/>
        </w:rPr>
        <w:t>признаје</w:t>
      </w:r>
      <w:r w:rsidRPr="00B8679D">
        <w:rPr>
          <w:rFonts w:ascii="Times New Roman" w:eastAsia="Times New Roman" w:hAnsi="Times New Roman"/>
          <w:sz w:val="24"/>
          <w:szCs w:val="24"/>
          <w:lang w:val="sr"/>
        </w:rPr>
        <w:t xml:space="preserve"> поновну сарадњу Ирана са ФАТФ-ом, док Иран настоји да отклони недостатке у свом режиму за спречавање прања новца и финансирања тероризма.</w:t>
      </w:r>
      <w:r w:rsidRPr="00B8679D">
        <w:rPr>
          <w:rFonts w:ascii="Times New Roman" w:eastAsia="Times New Roman" w:hAnsi="Times New Roman"/>
          <w:sz w:val="24"/>
          <w:szCs w:val="24"/>
          <w:lang w:val="sr-Cyrl-RS"/>
        </w:rPr>
        <w:t xml:space="preserve"> </w:t>
      </w:r>
      <w:r w:rsidR="00DC7055" w:rsidRPr="00B8679D">
        <w:rPr>
          <w:rFonts w:ascii="Times New Roman" w:eastAsia="Times New Roman" w:hAnsi="Times New Roman"/>
          <w:sz w:val="24"/>
          <w:szCs w:val="24"/>
          <w:lang w:val="sr"/>
        </w:rPr>
        <w:t xml:space="preserve">У јуну 2016. године Иран се обавезао на решавање стратешких недостатака.  Акциони план Ирана истекао је у јануару 2018. године.  </w:t>
      </w:r>
    </w:p>
    <w:p w:rsidR="00DA4CE3" w:rsidRPr="00B8679D" w:rsidRDefault="00DC7055" w:rsidP="00C454F6">
      <w:pPr>
        <w:pStyle w:val="NormalWeb"/>
        <w:jc w:val="both"/>
        <w:rPr>
          <w:lang w:val="sr"/>
        </w:rPr>
      </w:pPr>
      <w:r w:rsidRPr="00B8679D">
        <w:rPr>
          <w:lang w:val="sr"/>
        </w:rPr>
        <w:t>У октобру 2019. године ФАТФ је позвао своје чланице и апеловао на све јурисдикције да затраже појачану контролу  филијала и подружница финансијских институција чије је седиште у Ирану од стране надзорних органа; да уведу појачане механизме извештавања о релевантним питањима или систематско извештавање о финансијским трансакцијама и да захтевају увођење обавеза појачане екстeрне контроле за финансијске групације у погледу сваке филијале или подружнице која се налази у Ирану.</w:t>
      </w:r>
    </w:p>
    <w:p w:rsidR="00DA4CE3" w:rsidRPr="00B8679D" w:rsidRDefault="00DA4CE3" w:rsidP="00C454F6">
      <w:pPr>
        <w:pStyle w:val="NormalWeb"/>
        <w:jc w:val="both"/>
        <w:rPr>
          <w:lang w:val="sr-Cyrl-RS"/>
        </w:rPr>
      </w:pPr>
      <w:r w:rsidRPr="00B8679D">
        <w:rPr>
          <w:lang w:val="sr"/>
        </w:rPr>
        <w:t>Од фебруара 2020. године, с обзиром на то да Иран није у потпуности спровео свој акциони план, ФАТФ је позвао своје чланице и захтевао од свих јурисдикција да примене ефикасне контрамере у складу са Препоруком 19</w:t>
      </w:r>
      <w:r w:rsidRPr="00B8679D">
        <w:rPr>
          <w:lang w:val="sr-Cyrl-RS"/>
        </w:rPr>
        <w:t>.</w:t>
      </w:r>
    </w:p>
    <w:p w:rsidR="00DC7055" w:rsidRPr="00B8679D" w:rsidRDefault="00607331" w:rsidP="00C454F6">
      <w:pPr>
        <w:pStyle w:val="NormalWeb"/>
        <w:jc w:val="both"/>
        <w:rPr>
          <w:lang w:val="sr"/>
        </w:rPr>
      </w:pPr>
      <w:r w:rsidRPr="00B8679D">
        <w:rPr>
          <w:lang w:val="sr-Cyrl-RS"/>
        </w:rPr>
        <w:t>У јануару 2026. године</w:t>
      </w:r>
      <w:r w:rsidR="0061415F" w:rsidRPr="00B8679D">
        <w:rPr>
          <w:lang w:val="sr"/>
        </w:rPr>
        <w:t>, Иран је доставио ФАТФ-у ажуриране информације о ратификацији Конвенције Уједињених нација против транснационалног организованог криминала (Палермо</w:t>
      </w:r>
      <w:r w:rsidR="00E214F4" w:rsidRPr="00B8679D">
        <w:rPr>
          <w:lang w:val="sr"/>
        </w:rPr>
        <w:t xml:space="preserve"> </w:t>
      </w:r>
      <w:r w:rsidR="00E214F4" w:rsidRPr="00B8679D">
        <w:rPr>
          <w:lang w:val="sr-Cyrl-RS"/>
        </w:rPr>
        <w:t>конвенција</w:t>
      </w:r>
      <w:r w:rsidR="0061415F" w:rsidRPr="00B8679D">
        <w:rPr>
          <w:lang w:val="sr"/>
        </w:rPr>
        <w:t>)</w:t>
      </w:r>
      <w:r w:rsidRPr="00B8679D">
        <w:rPr>
          <w:lang w:val="sr-Cyrl-RS"/>
        </w:rPr>
        <w:t xml:space="preserve"> </w:t>
      </w:r>
      <w:r w:rsidR="00053C89" w:rsidRPr="00B8679D">
        <w:rPr>
          <w:lang w:val="sr-Cyrl-RS"/>
        </w:rPr>
        <w:t>и Конвенције</w:t>
      </w:r>
      <w:r w:rsidRPr="00B8679D">
        <w:rPr>
          <w:lang w:val="sr-Cyrl-RS"/>
        </w:rPr>
        <w:t xml:space="preserve"> УН за сузбијање финансирања тероризма (ФТ Конвенција)</w:t>
      </w:r>
      <w:r w:rsidR="0061415F" w:rsidRPr="00B8679D">
        <w:rPr>
          <w:lang w:val="sr"/>
        </w:rPr>
        <w:t xml:space="preserve">. Иако ФАТФ </w:t>
      </w:r>
      <w:r w:rsidR="00E214F4" w:rsidRPr="00B8679D">
        <w:rPr>
          <w:lang w:val="sr-Cyrl-RS"/>
        </w:rPr>
        <w:t>констатује под</w:t>
      </w:r>
      <w:r w:rsidR="0061415F" w:rsidRPr="00B8679D">
        <w:rPr>
          <w:lang w:val="sr"/>
        </w:rPr>
        <w:t>несак и ангажман Ирана, у овом тренутку ФАТФ процењује да су резерве</w:t>
      </w:r>
      <w:r w:rsidR="00177741" w:rsidRPr="00B8679D">
        <w:rPr>
          <w:lang w:val="sr-Cyrl-RS"/>
        </w:rPr>
        <w:t xml:space="preserve"> на Палермо конвенцију </w:t>
      </w:r>
      <w:r w:rsidRPr="00B8679D">
        <w:rPr>
          <w:lang w:val="sr-Cyrl-RS"/>
        </w:rPr>
        <w:t xml:space="preserve">и ФТ Конвенцију </w:t>
      </w:r>
      <w:r w:rsidR="0061415F" w:rsidRPr="00B8679D">
        <w:rPr>
          <w:lang w:val="sr"/>
        </w:rPr>
        <w:t xml:space="preserve">које је Иран </w:t>
      </w:r>
      <w:r w:rsidR="00177741" w:rsidRPr="00B8679D">
        <w:rPr>
          <w:lang w:val="sr-Cyrl-RS"/>
        </w:rPr>
        <w:t>уложио</w:t>
      </w:r>
      <w:r w:rsidR="005624CD" w:rsidRPr="00B8679D">
        <w:rPr>
          <w:lang w:val="sr-Cyrl-RS"/>
        </w:rPr>
        <w:t>,</w:t>
      </w:r>
      <w:r w:rsidR="00177741" w:rsidRPr="00B8679D">
        <w:rPr>
          <w:lang w:val="sr-Cyrl-RS"/>
        </w:rPr>
        <w:t xml:space="preserve"> </w:t>
      </w:r>
      <w:r w:rsidR="0061415F" w:rsidRPr="00B8679D">
        <w:rPr>
          <w:lang w:val="sr"/>
        </w:rPr>
        <w:t>преши</w:t>
      </w:r>
      <w:r w:rsidR="005624CD" w:rsidRPr="00B8679D">
        <w:rPr>
          <w:lang w:val="sr"/>
        </w:rPr>
        <w:t xml:space="preserve">роке, </w:t>
      </w:r>
      <w:r w:rsidR="0061415F" w:rsidRPr="00B8679D">
        <w:rPr>
          <w:lang w:val="sr"/>
        </w:rPr>
        <w:t>и да ускл</w:t>
      </w:r>
      <w:r w:rsidR="005E1DE4" w:rsidRPr="00B8679D">
        <w:rPr>
          <w:lang w:val="sr"/>
        </w:rPr>
        <w:t xml:space="preserve">ађеност Ирана са </w:t>
      </w:r>
      <w:r w:rsidRPr="00B8679D">
        <w:rPr>
          <w:lang w:val="sr-Cyrl-RS"/>
        </w:rPr>
        <w:t>овим конвенцијама</w:t>
      </w:r>
      <w:r w:rsidR="0061415F" w:rsidRPr="00B8679D">
        <w:rPr>
          <w:lang w:val="sr"/>
        </w:rPr>
        <w:t xml:space="preserve"> није у складу са стандардима ФАТФ-а. ФАТФ такође </w:t>
      </w:r>
      <w:r w:rsidR="005E1DE4" w:rsidRPr="00B8679D">
        <w:rPr>
          <w:lang w:val="sr-Cyrl-RS"/>
        </w:rPr>
        <w:t>констатује</w:t>
      </w:r>
      <w:r w:rsidR="0061415F" w:rsidRPr="00B8679D">
        <w:rPr>
          <w:lang w:val="sr"/>
        </w:rPr>
        <w:t xml:space="preserve"> да Иран није успео да спроведе већи део свог акционог плана од 2016. године.</w:t>
      </w:r>
      <w:r w:rsidR="00DC7055" w:rsidRPr="00B8679D">
        <w:rPr>
          <w:lang w:val="sr"/>
        </w:rPr>
        <w:t xml:space="preserve"> </w:t>
      </w:r>
    </w:p>
    <w:p w:rsidR="0061415F" w:rsidRPr="00B8679D" w:rsidRDefault="0061415F" w:rsidP="00C454F6">
      <w:pPr>
        <w:pStyle w:val="NormalWeb"/>
        <w:jc w:val="both"/>
        <w:rPr>
          <w:lang w:val="sr-Cyrl-RS"/>
        </w:rPr>
      </w:pPr>
      <w:r w:rsidRPr="00B8679D">
        <w:rPr>
          <w:lang w:val="sr-Cyrl-RS"/>
        </w:rPr>
        <w:t xml:space="preserve">Узимајући у обзир резолуције Савета безбедности Уједињених нација </w:t>
      </w:r>
      <w:r w:rsidR="004F7E83" w:rsidRPr="00B8679D">
        <w:rPr>
          <w:lang w:val="sr-Cyrl-RS"/>
        </w:rPr>
        <w:t>које се односе на непоштовање</w:t>
      </w:r>
      <w:r w:rsidRPr="00B8679D">
        <w:rPr>
          <w:lang w:val="sr-Cyrl-RS"/>
        </w:rPr>
        <w:t xml:space="preserve"> обаве</w:t>
      </w:r>
      <w:r w:rsidR="004F7E83" w:rsidRPr="00B8679D">
        <w:rPr>
          <w:lang w:val="sr-Cyrl-RS"/>
        </w:rPr>
        <w:t xml:space="preserve">за од стране Ирана </w:t>
      </w:r>
      <w:r w:rsidRPr="00B8679D">
        <w:rPr>
          <w:lang w:val="sr-Cyrl-RS"/>
        </w:rPr>
        <w:t xml:space="preserve">у </w:t>
      </w:r>
      <w:r w:rsidR="004F7E83" w:rsidRPr="00B8679D">
        <w:rPr>
          <w:lang w:val="sr-Cyrl-RS"/>
        </w:rPr>
        <w:t>погледу забране ширења</w:t>
      </w:r>
      <w:r w:rsidRPr="00B8679D">
        <w:rPr>
          <w:lang w:val="sr-Cyrl-RS"/>
        </w:rPr>
        <w:t xml:space="preserve"> нуклеарног оружја, ФАТФ подсећа све јурисдикције на њихове обавезе према стандардима ФАТФ-а да се баве ризицима финансирања ширења оружја</w:t>
      </w:r>
      <w:r w:rsidR="00B11386" w:rsidRPr="00B8679D">
        <w:rPr>
          <w:lang w:val="sr-Latn-RS"/>
        </w:rPr>
        <w:t xml:space="preserve"> </w:t>
      </w:r>
      <w:r w:rsidR="00B11386" w:rsidRPr="00B8679D">
        <w:rPr>
          <w:lang w:val="sr-Cyrl-RS"/>
        </w:rPr>
        <w:t>за масовно уништење</w:t>
      </w:r>
      <w:r w:rsidRPr="00B8679D">
        <w:rPr>
          <w:lang w:val="sr-Cyrl-RS"/>
        </w:rPr>
        <w:t xml:space="preserve"> који потичу из Ирана. Поред тога, с обзиром на континуиране претње финансирања тероризма и финансирања ширења оружја </w:t>
      </w:r>
      <w:r w:rsidR="00B11386" w:rsidRPr="00B8679D">
        <w:rPr>
          <w:lang w:val="sr-Cyrl-RS"/>
        </w:rPr>
        <w:t xml:space="preserve">за масовно уништење </w:t>
      </w:r>
      <w:r w:rsidRPr="00B8679D">
        <w:rPr>
          <w:lang w:val="sr-Cyrl-RS"/>
        </w:rPr>
        <w:t>које потичу и</w:t>
      </w:r>
      <w:r w:rsidR="004F7E83" w:rsidRPr="00B8679D">
        <w:rPr>
          <w:lang w:val="sr-Cyrl-RS"/>
        </w:rPr>
        <w:t xml:space="preserve">з Ирана и с обзиром на то да </w:t>
      </w:r>
      <w:r w:rsidRPr="00B8679D">
        <w:rPr>
          <w:lang w:val="sr-Cyrl-RS"/>
        </w:rPr>
        <w:t xml:space="preserve">акциони план Ирана још увек </w:t>
      </w:r>
      <w:r w:rsidR="004F7E83" w:rsidRPr="00B8679D">
        <w:rPr>
          <w:lang w:val="sr-Cyrl-RS"/>
        </w:rPr>
        <w:t xml:space="preserve">није у потпуности </w:t>
      </w:r>
      <w:r w:rsidR="00B11386" w:rsidRPr="00B8679D">
        <w:rPr>
          <w:lang w:val="sr-Cyrl-RS"/>
        </w:rPr>
        <w:t>спроведен</w:t>
      </w:r>
      <w:r w:rsidR="004F7E83" w:rsidRPr="00B8679D">
        <w:rPr>
          <w:lang w:val="sr-Cyrl-RS"/>
        </w:rPr>
        <w:t xml:space="preserve">, ФАТФ поново упућује </w:t>
      </w:r>
      <w:r w:rsidRPr="00B8679D">
        <w:rPr>
          <w:lang w:val="sr-Cyrl-RS"/>
        </w:rPr>
        <w:t xml:space="preserve">позив својим чланицама и </w:t>
      </w:r>
      <w:r w:rsidR="004F7E83" w:rsidRPr="00B8679D">
        <w:rPr>
          <w:lang w:val="sr-Cyrl-RS"/>
        </w:rPr>
        <w:lastRenderedPageBreak/>
        <w:t xml:space="preserve">апелује на </w:t>
      </w:r>
      <w:r w:rsidRPr="00B8679D">
        <w:rPr>
          <w:lang w:val="sr-Cyrl-RS"/>
        </w:rPr>
        <w:t xml:space="preserve">све јурисдикције да примене </w:t>
      </w:r>
      <w:r w:rsidR="007C5440" w:rsidRPr="00B8679D">
        <w:rPr>
          <w:lang w:val="sr-Cyrl-RS"/>
        </w:rPr>
        <w:t>делотворне противме</w:t>
      </w:r>
      <w:r w:rsidR="004F7E83" w:rsidRPr="00B8679D">
        <w:rPr>
          <w:lang w:val="sr-Cyrl-RS"/>
        </w:rPr>
        <w:t xml:space="preserve">ре према </w:t>
      </w:r>
      <w:r w:rsidRPr="00B8679D">
        <w:rPr>
          <w:lang w:val="sr-Cyrl-RS"/>
        </w:rPr>
        <w:t>Иран</w:t>
      </w:r>
      <w:r w:rsidR="004F7E83" w:rsidRPr="00B8679D">
        <w:rPr>
          <w:lang w:val="sr-Cyrl-RS"/>
        </w:rPr>
        <w:t>у</w:t>
      </w:r>
      <w:r w:rsidRPr="00B8679D">
        <w:rPr>
          <w:lang w:val="sr-Cyrl-RS"/>
        </w:rPr>
        <w:t>, укључујући следеће</w:t>
      </w:r>
      <w:r w:rsidR="007C5440" w:rsidRPr="00B8679D">
        <w:rPr>
          <w:lang w:val="sr-Cyrl-RS"/>
        </w:rPr>
        <w:t>:</w:t>
      </w:r>
    </w:p>
    <w:p w:rsidR="0061415F" w:rsidRPr="00B8679D" w:rsidRDefault="00D36EAF" w:rsidP="0061415F">
      <w:pPr>
        <w:pStyle w:val="NormalWeb"/>
        <w:numPr>
          <w:ilvl w:val="0"/>
          <w:numId w:val="4"/>
        </w:numPr>
        <w:jc w:val="both"/>
        <w:rPr>
          <w:lang w:val="sr-Cyrl-RS"/>
        </w:rPr>
      </w:pPr>
      <w:r w:rsidRPr="00B8679D">
        <w:rPr>
          <w:lang w:val="sr-Cyrl-RS"/>
        </w:rPr>
        <w:t>Да одбију оснивање</w:t>
      </w:r>
      <w:r w:rsidR="0061415F" w:rsidRPr="00B8679D">
        <w:rPr>
          <w:lang w:val="sr-Cyrl-RS"/>
        </w:rPr>
        <w:t xml:space="preserve"> подр</w:t>
      </w:r>
      <w:r w:rsidRPr="00B8679D">
        <w:rPr>
          <w:lang w:val="sr-Cyrl-RS"/>
        </w:rPr>
        <w:t xml:space="preserve">еђених друштава, </w:t>
      </w:r>
      <w:r w:rsidR="0061415F" w:rsidRPr="00B8679D">
        <w:rPr>
          <w:lang w:val="sr-Cyrl-RS"/>
        </w:rPr>
        <w:t xml:space="preserve">или </w:t>
      </w:r>
      <w:r w:rsidRPr="00B8679D">
        <w:rPr>
          <w:lang w:val="sr-Cyrl-RS"/>
        </w:rPr>
        <w:t>пословних јединица</w:t>
      </w:r>
      <w:r w:rsidR="0061415F" w:rsidRPr="00B8679D">
        <w:rPr>
          <w:lang w:val="sr-Cyrl-RS"/>
        </w:rPr>
        <w:t xml:space="preserve"> или представништ</w:t>
      </w:r>
      <w:r w:rsidRPr="00B8679D">
        <w:rPr>
          <w:lang w:val="sr-Cyrl-RS"/>
        </w:rPr>
        <w:t>а</w:t>
      </w:r>
      <w:r w:rsidR="0061415F" w:rsidRPr="00B8679D">
        <w:rPr>
          <w:lang w:val="sr-Cyrl-RS"/>
        </w:rPr>
        <w:t xml:space="preserve">ва финансијских институција из </w:t>
      </w:r>
      <w:r w:rsidRPr="00B8679D">
        <w:rPr>
          <w:lang w:val="sr-Cyrl-RS"/>
        </w:rPr>
        <w:t xml:space="preserve">ове државе </w:t>
      </w:r>
      <w:r w:rsidR="0061415F" w:rsidRPr="00B8679D">
        <w:rPr>
          <w:lang w:val="sr-Cyrl-RS"/>
        </w:rPr>
        <w:t xml:space="preserve">или </w:t>
      </w:r>
      <w:r w:rsidR="000B61EC" w:rsidRPr="00B8679D">
        <w:rPr>
          <w:lang w:val="sr-Cyrl-RS"/>
        </w:rPr>
        <w:t>да на други начин узму у обзир чињеницу</w:t>
      </w:r>
      <w:r w:rsidR="0061415F" w:rsidRPr="00B8679D">
        <w:rPr>
          <w:lang w:val="sr-Cyrl-RS"/>
        </w:rPr>
        <w:t xml:space="preserve"> да релевантна финансијска институција </w:t>
      </w:r>
      <w:r w:rsidR="000B61EC" w:rsidRPr="00B8679D">
        <w:rPr>
          <w:lang w:val="sr-Cyrl-RS"/>
        </w:rPr>
        <w:t xml:space="preserve">долази </w:t>
      </w:r>
      <w:r w:rsidR="0061415F" w:rsidRPr="00B8679D">
        <w:rPr>
          <w:lang w:val="sr-Cyrl-RS"/>
        </w:rPr>
        <w:t xml:space="preserve">из </w:t>
      </w:r>
      <w:r w:rsidRPr="00B8679D">
        <w:rPr>
          <w:lang w:val="sr-Cyrl-RS"/>
        </w:rPr>
        <w:t xml:space="preserve">државе </w:t>
      </w:r>
      <w:r w:rsidR="0061415F" w:rsidRPr="00B8679D">
        <w:rPr>
          <w:lang w:val="sr-Cyrl-RS"/>
        </w:rPr>
        <w:t xml:space="preserve">која нема адекватне системе за спречавање прања новца и финансирања тероризма; </w:t>
      </w:r>
    </w:p>
    <w:p w:rsidR="0061415F" w:rsidRPr="00B8679D" w:rsidRDefault="0061415F" w:rsidP="00607331">
      <w:pPr>
        <w:pStyle w:val="NormalWeb"/>
        <w:numPr>
          <w:ilvl w:val="0"/>
          <w:numId w:val="4"/>
        </w:numPr>
        <w:jc w:val="both"/>
        <w:rPr>
          <w:lang w:val="sr-Cyrl-RS"/>
        </w:rPr>
      </w:pPr>
      <w:r w:rsidRPr="00B8679D">
        <w:rPr>
          <w:lang w:val="sr-Cyrl-RS"/>
        </w:rPr>
        <w:t xml:space="preserve">и </w:t>
      </w:r>
      <w:r w:rsidR="000B61EC" w:rsidRPr="00B8679D">
        <w:rPr>
          <w:lang w:val="sr-Cyrl-RS"/>
        </w:rPr>
        <w:t>да забране</w:t>
      </w:r>
      <w:r w:rsidRPr="00B8679D">
        <w:rPr>
          <w:lang w:val="sr-Cyrl-RS"/>
        </w:rPr>
        <w:t xml:space="preserve"> финансијским институцијама да оснивају </w:t>
      </w:r>
      <w:r w:rsidR="000B61EC" w:rsidRPr="00B8679D">
        <w:rPr>
          <w:lang w:val="sr-Cyrl-RS"/>
        </w:rPr>
        <w:t>пословне јединице</w:t>
      </w:r>
      <w:r w:rsidRPr="00B8679D">
        <w:rPr>
          <w:lang w:val="sr-Cyrl-RS"/>
        </w:rPr>
        <w:t xml:space="preserve"> или представништва у </w:t>
      </w:r>
      <w:r w:rsidR="000B61EC" w:rsidRPr="00B8679D">
        <w:rPr>
          <w:lang w:val="sr-Cyrl-RS"/>
        </w:rPr>
        <w:t xml:space="preserve">тој држави </w:t>
      </w:r>
      <w:r w:rsidRPr="00B8679D">
        <w:rPr>
          <w:lang w:val="sr-Cyrl-RS"/>
        </w:rPr>
        <w:t>или</w:t>
      </w:r>
      <w:r w:rsidR="000B61EC" w:rsidRPr="00B8679D">
        <w:rPr>
          <w:lang w:val="sr-Cyrl-RS"/>
        </w:rPr>
        <w:t xml:space="preserve"> да на други начин узму у обзир чињеницу</w:t>
      </w:r>
      <w:r w:rsidRPr="00B8679D">
        <w:rPr>
          <w:lang w:val="sr-Cyrl-RS"/>
        </w:rPr>
        <w:t xml:space="preserve"> да би релевантна</w:t>
      </w:r>
      <w:r w:rsidR="000B61EC" w:rsidRPr="00B8679D">
        <w:rPr>
          <w:lang w:val="sr-Cyrl-RS"/>
        </w:rPr>
        <w:t xml:space="preserve"> пословна јединица или представништво бил</w:t>
      </w:r>
      <w:r w:rsidR="005624CD" w:rsidRPr="00B8679D">
        <w:rPr>
          <w:lang w:val="sr-Cyrl-RS"/>
        </w:rPr>
        <w:t>а</w:t>
      </w:r>
      <w:r w:rsidR="000B61EC" w:rsidRPr="00B8679D">
        <w:rPr>
          <w:lang w:val="sr-Cyrl-RS"/>
        </w:rPr>
        <w:t xml:space="preserve"> у држави</w:t>
      </w:r>
      <w:r w:rsidRPr="00B8679D">
        <w:rPr>
          <w:lang w:val="sr-Cyrl-RS"/>
        </w:rPr>
        <w:t xml:space="preserve"> која нема адекватне системе за спречавање прањ</w:t>
      </w:r>
      <w:r w:rsidR="00607331" w:rsidRPr="00B8679D">
        <w:rPr>
          <w:lang w:val="sr-Cyrl-RS"/>
        </w:rPr>
        <w:t>а новца и финансирања тероризма;</w:t>
      </w:r>
    </w:p>
    <w:p w:rsidR="00607331" w:rsidRPr="00B8679D" w:rsidRDefault="00607331" w:rsidP="0060733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sr-Cyrl-RS"/>
        </w:rPr>
      </w:pPr>
      <w:r w:rsidRPr="00B8679D">
        <w:rPr>
          <w:rFonts w:ascii="Times New Roman" w:eastAsia="Times New Roman" w:hAnsi="Times New Roman"/>
          <w:sz w:val="24"/>
          <w:szCs w:val="24"/>
          <w:lang w:val="sr-Cyrl-RS"/>
        </w:rPr>
        <w:t xml:space="preserve">На основу ризика, </w:t>
      </w:r>
      <w:r w:rsidR="00E03DBF" w:rsidRPr="00B8679D">
        <w:rPr>
          <w:rFonts w:ascii="Times New Roman" w:eastAsia="Times New Roman" w:hAnsi="Times New Roman"/>
          <w:sz w:val="24"/>
          <w:szCs w:val="24"/>
          <w:lang w:val="sr-Cyrl-RS"/>
        </w:rPr>
        <w:t xml:space="preserve">да </w:t>
      </w:r>
      <w:r w:rsidRPr="00B8679D">
        <w:rPr>
          <w:rFonts w:ascii="Times New Roman" w:eastAsia="Times New Roman" w:hAnsi="Times New Roman"/>
          <w:sz w:val="24"/>
          <w:szCs w:val="24"/>
          <w:lang w:val="sr-Cyrl-RS"/>
        </w:rPr>
        <w:t>огранич</w:t>
      </w:r>
      <w:r w:rsidR="00E03DBF" w:rsidRPr="00B8679D">
        <w:rPr>
          <w:rFonts w:ascii="Times New Roman" w:eastAsia="Times New Roman" w:hAnsi="Times New Roman"/>
          <w:sz w:val="24"/>
          <w:szCs w:val="24"/>
          <w:lang w:val="sr-Cyrl-RS"/>
        </w:rPr>
        <w:t>е пословне односе или финансијске трансакције</w:t>
      </w:r>
      <w:r w:rsidRPr="00B8679D">
        <w:rPr>
          <w:rFonts w:ascii="Times New Roman" w:eastAsia="Times New Roman" w:hAnsi="Times New Roman"/>
          <w:sz w:val="24"/>
          <w:szCs w:val="24"/>
          <w:lang w:val="sr-Cyrl-RS"/>
        </w:rPr>
        <w:t>, укључујући трансакције дигиталном имовином, са идентификованом земљом или лицима у дотичној земљи;</w:t>
      </w:r>
    </w:p>
    <w:p w:rsidR="00607331" w:rsidRPr="00B8679D" w:rsidRDefault="00E03DBF" w:rsidP="0060733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sr-Cyrl-RS"/>
        </w:rPr>
      </w:pPr>
      <w:r w:rsidRPr="00B8679D">
        <w:rPr>
          <w:rFonts w:ascii="Times New Roman" w:eastAsia="Times New Roman" w:hAnsi="Times New Roman"/>
          <w:sz w:val="24"/>
          <w:szCs w:val="24"/>
          <w:lang w:val="sr-Cyrl-RS"/>
        </w:rPr>
        <w:t>Да забране</w:t>
      </w:r>
      <w:r w:rsidR="00607331" w:rsidRPr="00B8679D">
        <w:rPr>
          <w:rFonts w:ascii="Times New Roman" w:eastAsia="Times New Roman" w:hAnsi="Times New Roman"/>
          <w:sz w:val="24"/>
          <w:szCs w:val="24"/>
          <w:lang w:val="sr-Cyrl-RS"/>
        </w:rPr>
        <w:t xml:space="preserve"> финансијским институцијама и пружаоцима услуга у вези са дигиталном имовином </w:t>
      </w:r>
      <w:r w:rsidRPr="00B8679D">
        <w:rPr>
          <w:rFonts w:ascii="Times New Roman" w:eastAsia="Times New Roman" w:hAnsi="Times New Roman"/>
          <w:sz w:val="24"/>
          <w:szCs w:val="24"/>
          <w:lang w:val="sr-Cyrl-RS"/>
        </w:rPr>
        <w:t>успостављање нових кореспондентских односа</w:t>
      </w:r>
      <w:r w:rsidR="00607331" w:rsidRPr="00B8679D">
        <w:rPr>
          <w:rFonts w:ascii="Times New Roman" w:eastAsia="Times New Roman" w:hAnsi="Times New Roman"/>
          <w:sz w:val="24"/>
          <w:szCs w:val="24"/>
          <w:lang w:val="sr-Cyrl-RS"/>
        </w:rPr>
        <w:t xml:space="preserve"> и </w:t>
      </w:r>
      <w:r w:rsidRPr="00B8679D">
        <w:rPr>
          <w:rFonts w:ascii="Times New Roman" w:eastAsia="Times New Roman" w:hAnsi="Times New Roman"/>
          <w:sz w:val="24"/>
          <w:szCs w:val="24"/>
          <w:lang w:val="sr-Cyrl-RS"/>
        </w:rPr>
        <w:t xml:space="preserve">да захтевају </w:t>
      </w:r>
      <w:r w:rsidR="00607331" w:rsidRPr="00B8679D">
        <w:rPr>
          <w:rFonts w:ascii="Times New Roman" w:eastAsia="Times New Roman" w:hAnsi="Times New Roman"/>
          <w:sz w:val="24"/>
          <w:szCs w:val="24"/>
          <w:lang w:val="sr-Cyrl-RS"/>
        </w:rPr>
        <w:t>од њих да изврше преглед постојећих кореспондентских односа са финансијским институцијама и пружаоцима услуга у вези са дигиталном имовином у дотичној земљи, заснован на ризику.</w:t>
      </w:r>
    </w:p>
    <w:p w:rsidR="00DC7055" w:rsidRPr="00B8679D" w:rsidRDefault="00BC3793" w:rsidP="00C454F6">
      <w:pPr>
        <w:pStyle w:val="NormalWeb"/>
        <w:jc w:val="both"/>
        <w:rPr>
          <w:lang w:val="sr"/>
        </w:rPr>
      </w:pPr>
      <w:r w:rsidRPr="00B8679D">
        <w:rPr>
          <w:lang w:val="sr"/>
        </w:rPr>
        <w:t xml:space="preserve">Приликом примене </w:t>
      </w:r>
      <w:r w:rsidRPr="00B8679D">
        <w:rPr>
          <w:lang w:val="sr-Cyrl-RS"/>
        </w:rPr>
        <w:t>против</w:t>
      </w:r>
      <w:r w:rsidRPr="00B8679D">
        <w:rPr>
          <w:lang w:val="sr"/>
        </w:rPr>
        <w:t xml:space="preserve">мера, земље треба да обезбеде да се токови </w:t>
      </w:r>
      <w:r w:rsidR="00E03DBF" w:rsidRPr="00B8679D">
        <w:rPr>
          <w:lang w:val="sr-Cyrl-RS"/>
        </w:rPr>
        <w:t xml:space="preserve">новчаних </w:t>
      </w:r>
      <w:r w:rsidRPr="00B8679D">
        <w:rPr>
          <w:lang w:val="sr"/>
        </w:rPr>
        <w:t>средстава који укључују хуманитарну помоћ, храну и</w:t>
      </w:r>
      <w:r w:rsidR="00E03DBF" w:rsidRPr="00B8679D">
        <w:t xml:space="preserve"> </w:t>
      </w:r>
      <w:r w:rsidR="00E03DBF" w:rsidRPr="00B8679D">
        <w:rPr>
          <w:lang w:val="sr-Cyrl-RS"/>
        </w:rPr>
        <w:t>медицинску опрему</w:t>
      </w:r>
      <w:r w:rsidRPr="00B8679D">
        <w:rPr>
          <w:lang w:val="sr"/>
        </w:rPr>
        <w:t xml:space="preserve">, дипломатске оперативне трошкове и личне дознаке одговарајуће третирају на основу ризика, узимајући у обзир ризике од финансирања тероризма или финансирања ширења оружја које </w:t>
      </w:r>
      <w:r w:rsidRPr="00B8679D">
        <w:rPr>
          <w:lang w:val="sr-Cyrl-RS"/>
        </w:rPr>
        <w:t>долазе</w:t>
      </w:r>
      <w:r w:rsidRPr="00B8679D">
        <w:rPr>
          <w:lang w:val="sr"/>
        </w:rPr>
        <w:t xml:space="preserve"> из Ирана, </w:t>
      </w:r>
      <w:bookmarkStart w:id="0" w:name="_GoBack"/>
      <w:bookmarkEnd w:id="0"/>
      <w:r w:rsidRPr="00B8679D">
        <w:rPr>
          <w:lang w:val="sr"/>
        </w:rPr>
        <w:t>у складу са међународним обавезама.</w:t>
      </w:r>
      <w:r w:rsidRPr="00B8679D">
        <w:rPr>
          <w:lang w:val="sr-Cyrl-RS"/>
        </w:rPr>
        <w:t xml:space="preserve"> </w:t>
      </w:r>
      <w:r w:rsidR="00DC7055" w:rsidRPr="00B8679D">
        <w:rPr>
          <w:lang w:val="sr"/>
        </w:rPr>
        <w:t xml:space="preserve">Иран ће остати </w:t>
      </w:r>
      <w:r w:rsidRPr="00B8679D">
        <w:rPr>
          <w:lang w:val="sr-Cyrl-RS"/>
        </w:rPr>
        <w:t>на листи</w:t>
      </w:r>
      <w:r w:rsidR="00DC7055" w:rsidRPr="00B8679D">
        <w:rPr>
          <w:lang w:val="sr"/>
        </w:rPr>
        <w:t xml:space="preserve"> ФАТФ о </w:t>
      </w:r>
      <w:r w:rsidR="00DC7055" w:rsidRPr="00B8679D">
        <w:rPr>
          <w:u w:val="single"/>
          <w:lang w:val="sr"/>
        </w:rPr>
        <w:t>високоризичним јурисдикцијама које подлежу позиву за акцију</w:t>
      </w:r>
      <w:r w:rsidR="00DC7055" w:rsidRPr="00B8679D">
        <w:rPr>
          <w:lang w:val="sr"/>
        </w:rPr>
        <w:t xml:space="preserve"> док се Акциони план у потпуности не испуни. </w:t>
      </w:r>
      <w:hyperlink r:id="rId9" w:history="1"/>
      <w:r w:rsidR="00DC7055" w:rsidRPr="00B8679D">
        <w:rPr>
          <w:lang w:val="sr"/>
        </w:rPr>
        <w:t xml:space="preserve"> </w:t>
      </w:r>
      <w:r w:rsidR="0061415F" w:rsidRPr="00B8679D">
        <w:rPr>
          <w:lang w:val="sr-Cyrl-RS"/>
        </w:rPr>
        <w:t xml:space="preserve">Као што је ФАТФ раније навео, </w:t>
      </w:r>
      <w:r w:rsidR="0061415F" w:rsidRPr="00B8679D">
        <w:rPr>
          <w:lang w:val="sr"/>
        </w:rPr>
        <w:t>у</w:t>
      </w:r>
      <w:r w:rsidR="00DC7055" w:rsidRPr="00B8679D">
        <w:rPr>
          <w:lang w:val="sr"/>
        </w:rPr>
        <w:t>колико Иран ратификује</w:t>
      </w:r>
      <w:r w:rsidR="0061415F" w:rsidRPr="00B8679D">
        <w:rPr>
          <w:lang w:val="sr-Cyrl-RS"/>
        </w:rPr>
        <w:t xml:space="preserve"> и имплементира</w:t>
      </w:r>
      <w:r w:rsidR="00DC7055" w:rsidRPr="00B8679D">
        <w:rPr>
          <w:lang w:val="sr"/>
        </w:rPr>
        <w:t xml:space="preserve"> Палермо конвенцију и Конвенцију о финансирању тероризма, у складу са ФАТФ стандардима, ФАТФ ће одлучити о наредним корацима, укључујући и да ли да суспендује противмере.  </w:t>
      </w:r>
      <w:r w:rsidR="0061415F" w:rsidRPr="00B8679D">
        <w:rPr>
          <w:lang w:val="sr-Cyrl-RS"/>
        </w:rPr>
        <w:t xml:space="preserve">ФАТФ може размотрити додатне </w:t>
      </w:r>
      <w:r w:rsidR="00772D3C" w:rsidRPr="00B8679D">
        <w:rPr>
          <w:lang w:val="sr-Cyrl-RS"/>
        </w:rPr>
        <w:t>наредне</w:t>
      </w:r>
      <w:r w:rsidR="0061415F" w:rsidRPr="00B8679D">
        <w:rPr>
          <w:lang w:val="sr-Cyrl-RS"/>
        </w:rPr>
        <w:t xml:space="preserve"> кораке ако Иран не покаже </w:t>
      </w:r>
      <w:r w:rsidR="00772D3C" w:rsidRPr="00B8679D">
        <w:rPr>
          <w:lang w:val="sr-Cyrl-RS"/>
        </w:rPr>
        <w:t xml:space="preserve">додатни </w:t>
      </w:r>
      <w:r w:rsidR="0061415F" w:rsidRPr="00B8679D">
        <w:rPr>
          <w:lang w:val="sr-Cyrl-RS"/>
        </w:rPr>
        <w:t xml:space="preserve">напредак у испуњењу свог акционог плана.  </w:t>
      </w:r>
    </w:p>
    <w:p w:rsidR="00DC7055" w:rsidRPr="00B8679D" w:rsidRDefault="0061415F" w:rsidP="00C454F6">
      <w:pPr>
        <w:pStyle w:val="NormalWeb"/>
        <w:jc w:val="both"/>
        <w:rPr>
          <w:lang w:val="sr-Cyrl-RS"/>
        </w:rPr>
      </w:pPr>
      <w:r w:rsidRPr="00B8679D">
        <w:rPr>
          <w:lang w:val="sr-Cyrl-RS"/>
        </w:rPr>
        <w:t xml:space="preserve">ФАТФ </w:t>
      </w:r>
      <w:r w:rsidR="00593D45" w:rsidRPr="00B8679D">
        <w:rPr>
          <w:lang w:val="sr-Cyrl-RS"/>
        </w:rPr>
        <w:t xml:space="preserve">нарочито </w:t>
      </w:r>
      <w:r w:rsidR="00B11386" w:rsidRPr="00B8679D">
        <w:rPr>
          <w:lang w:val="sr-Cyrl-RS"/>
        </w:rPr>
        <w:t>охрабрује</w:t>
      </w:r>
      <w:r w:rsidR="0009675B" w:rsidRPr="00B8679D">
        <w:rPr>
          <w:lang w:val="sr-Cyrl-RS"/>
        </w:rPr>
        <w:t xml:space="preserve"> Иран да сарађује са ФАТФ </w:t>
      </w:r>
      <w:r w:rsidRPr="00B8679D">
        <w:rPr>
          <w:lang w:val="sr-Cyrl-RS"/>
        </w:rPr>
        <w:t>како би хитно постигао даљи напредак у свом акционом плану за потпуно решавање</w:t>
      </w:r>
      <w:r w:rsidR="00657358" w:rsidRPr="00B8679D">
        <w:rPr>
          <w:lang w:val="sr-Cyrl-RS"/>
        </w:rPr>
        <w:t xml:space="preserve"> следећих питања: (1) адекватна</w:t>
      </w:r>
      <w:r w:rsidRPr="00B8679D">
        <w:rPr>
          <w:lang w:val="sr-Cyrl-RS"/>
        </w:rPr>
        <w:t xml:space="preserve"> криминализације финансирања терори</w:t>
      </w:r>
      <w:r w:rsidR="0009675B" w:rsidRPr="00B8679D">
        <w:rPr>
          <w:lang w:val="sr-Cyrl-RS"/>
        </w:rPr>
        <w:t>зма, укључујући уклањање изузетка</w:t>
      </w:r>
      <w:r w:rsidRPr="00B8679D">
        <w:rPr>
          <w:lang w:val="sr-Cyrl-RS"/>
        </w:rPr>
        <w:t xml:space="preserve"> за одређене групе „које покушавају да окончају страну окупацију, колонијализам и расизам“; (2) </w:t>
      </w:r>
      <w:r w:rsidR="0007528D" w:rsidRPr="00B8679D">
        <w:rPr>
          <w:lang w:val="sr-Cyrl-RS"/>
        </w:rPr>
        <w:t>пре</w:t>
      </w:r>
      <w:r w:rsidR="00657358" w:rsidRPr="00B8679D">
        <w:rPr>
          <w:lang w:val="sr-Cyrl-RS"/>
        </w:rPr>
        <w:t>познавање</w:t>
      </w:r>
      <w:r w:rsidR="0007528D" w:rsidRPr="00B8679D">
        <w:rPr>
          <w:lang w:val="sr-Cyrl-RS"/>
        </w:rPr>
        <w:t xml:space="preserve"> </w:t>
      </w:r>
      <w:r w:rsidR="00657358" w:rsidRPr="00B8679D">
        <w:rPr>
          <w:lang w:val="sr-Cyrl-RS"/>
        </w:rPr>
        <w:t>и замрзавање</w:t>
      </w:r>
      <w:r w:rsidR="0009675B" w:rsidRPr="00B8679D">
        <w:rPr>
          <w:lang w:val="sr-Cyrl-RS"/>
        </w:rPr>
        <w:t xml:space="preserve"> </w:t>
      </w:r>
      <w:r w:rsidRPr="00B8679D">
        <w:rPr>
          <w:lang w:val="sr-Cyrl-RS"/>
        </w:rPr>
        <w:t>имовине</w:t>
      </w:r>
      <w:r w:rsidR="0009675B" w:rsidRPr="00B8679D">
        <w:rPr>
          <w:lang w:val="sr-Cyrl-RS"/>
        </w:rPr>
        <w:t xml:space="preserve"> терориста</w:t>
      </w:r>
      <w:r w:rsidRPr="00B8679D">
        <w:rPr>
          <w:lang w:val="sr-Cyrl-RS"/>
        </w:rPr>
        <w:t xml:space="preserve"> у складу са релевантним резолуцијама Савета</w:t>
      </w:r>
      <w:r w:rsidR="0007528D" w:rsidRPr="00B8679D">
        <w:rPr>
          <w:lang w:val="sr-Cyrl-RS"/>
        </w:rPr>
        <w:t xml:space="preserve"> безбедности Уједињених нација; </w:t>
      </w:r>
      <w:r w:rsidR="00657358" w:rsidRPr="00B8679D">
        <w:rPr>
          <w:lang w:val="sr-Cyrl-RS"/>
        </w:rPr>
        <w:t>(3) обезбеђивање</w:t>
      </w:r>
      <w:r w:rsidRPr="00B8679D">
        <w:rPr>
          <w:lang w:val="sr-Cyrl-RS"/>
        </w:rPr>
        <w:t xml:space="preserve"> адекватног и применљивог режима </w:t>
      </w:r>
      <w:r w:rsidR="0009675B" w:rsidRPr="00B8679D">
        <w:rPr>
          <w:lang w:val="sr-Cyrl-RS"/>
        </w:rPr>
        <w:t>познавања и праћења странке</w:t>
      </w:r>
      <w:r w:rsidR="0007528D" w:rsidRPr="00B8679D">
        <w:rPr>
          <w:lang w:val="sr-Cyrl-RS"/>
        </w:rPr>
        <w:t xml:space="preserve">; </w:t>
      </w:r>
      <w:r w:rsidRPr="00B8679D">
        <w:rPr>
          <w:lang w:val="sr-Cyrl-RS"/>
        </w:rPr>
        <w:t xml:space="preserve">(4) </w:t>
      </w:r>
      <w:r w:rsidR="00657358" w:rsidRPr="00B8679D">
        <w:rPr>
          <w:lang w:val="sr-Cyrl-RS"/>
        </w:rPr>
        <w:t xml:space="preserve">показивање на који начин </w:t>
      </w:r>
      <w:r w:rsidR="0009675B" w:rsidRPr="00B8679D">
        <w:rPr>
          <w:lang w:val="sr-Cyrl-RS"/>
        </w:rPr>
        <w:t>државни органи препознају</w:t>
      </w:r>
      <w:r w:rsidRPr="00B8679D">
        <w:rPr>
          <w:lang w:val="sr-Cyrl-RS"/>
        </w:rPr>
        <w:t xml:space="preserve"> и санкционишу нелиценциране пружаоце услуга трансфера н</w:t>
      </w:r>
      <w:r w:rsidR="007800A7" w:rsidRPr="00B8679D">
        <w:rPr>
          <w:lang w:val="sr-Cyrl-RS"/>
        </w:rPr>
        <w:t>овца/вредности; (5) ратификација и спровођење</w:t>
      </w:r>
      <w:r w:rsidRPr="00B8679D">
        <w:rPr>
          <w:lang w:val="sr-Cyrl-RS"/>
        </w:rPr>
        <w:t xml:space="preserve"> Конвенције о финансирању тероризма у складу са стандардима ФАТФ-а и да ра</w:t>
      </w:r>
      <w:r w:rsidR="0009675B" w:rsidRPr="00B8679D">
        <w:rPr>
          <w:lang w:val="sr-Cyrl-RS"/>
        </w:rPr>
        <w:t>тификација и спровођење Палермо</w:t>
      </w:r>
      <w:r w:rsidRPr="00B8679D">
        <w:rPr>
          <w:lang w:val="sr-Cyrl-RS"/>
        </w:rPr>
        <w:t xml:space="preserve"> конвенције такође </w:t>
      </w:r>
      <w:r w:rsidR="0009675B" w:rsidRPr="00B8679D">
        <w:rPr>
          <w:lang w:val="sr-Cyrl-RS"/>
        </w:rPr>
        <w:t xml:space="preserve">буде </w:t>
      </w:r>
      <w:r w:rsidRPr="00B8679D">
        <w:rPr>
          <w:lang w:val="sr-Cyrl-RS"/>
        </w:rPr>
        <w:t>у складу са</w:t>
      </w:r>
      <w:r w:rsidR="007800A7" w:rsidRPr="00B8679D">
        <w:rPr>
          <w:lang w:val="sr-Cyrl-RS"/>
        </w:rPr>
        <w:t xml:space="preserve"> стандардима ФАТФ-а и разјашњење</w:t>
      </w:r>
      <w:r w:rsidRPr="00B8679D">
        <w:rPr>
          <w:lang w:val="sr-Cyrl-RS"/>
        </w:rPr>
        <w:t xml:space="preserve"> могућности пружања међу</w:t>
      </w:r>
      <w:r w:rsidR="0009675B" w:rsidRPr="00B8679D">
        <w:rPr>
          <w:lang w:val="sr-Cyrl-RS"/>
        </w:rPr>
        <w:t xml:space="preserve">народне </w:t>
      </w:r>
      <w:r w:rsidRPr="00B8679D">
        <w:rPr>
          <w:lang w:val="sr-Cyrl-RS"/>
        </w:rPr>
        <w:t>правне помоћи; и (6) да</w:t>
      </w:r>
      <w:r w:rsidR="007800A7" w:rsidRPr="00B8679D">
        <w:rPr>
          <w:lang w:val="sr-Cyrl-RS"/>
        </w:rPr>
        <w:t xml:space="preserve"> се осигура да</w:t>
      </w:r>
      <w:r w:rsidRPr="00B8679D">
        <w:rPr>
          <w:lang w:val="sr-Cyrl-RS"/>
        </w:rPr>
        <w:t xml:space="preserve"> финансијске институције </w:t>
      </w:r>
      <w:r w:rsidR="007800A7" w:rsidRPr="00B8679D">
        <w:rPr>
          <w:lang w:val="sr-Cyrl-RS"/>
        </w:rPr>
        <w:t xml:space="preserve">врше провере </w:t>
      </w:r>
      <w:r w:rsidRPr="00B8679D">
        <w:rPr>
          <w:lang w:val="sr-Cyrl-RS"/>
        </w:rPr>
        <w:t xml:space="preserve">да ли банковни трансфери садрже </w:t>
      </w:r>
      <w:r w:rsidR="00E33B4F" w:rsidRPr="00B8679D">
        <w:rPr>
          <w:lang w:val="sr-Cyrl-RS"/>
        </w:rPr>
        <w:t>потпуне</w:t>
      </w:r>
      <w:r w:rsidRPr="00B8679D">
        <w:rPr>
          <w:lang w:val="sr-Cyrl-RS"/>
        </w:rPr>
        <w:t xml:space="preserve"> информације о </w:t>
      </w:r>
      <w:r w:rsidR="00E33B4F" w:rsidRPr="00B8679D">
        <w:rPr>
          <w:lang w:val="sr-Cyrl-RS"/>
        </w:rPr>
        <w:t>налогодавцу и примаоцу</w:t>
      </w:r>
      <w:r w:rsidRPr="00B8679D">
        <w:rPr>
          <w:lang w:val="sr-Cyrl-RS"/>
        </w:rPr>
        <w:t>.</w:t>
      </w:r>
    </w:p>
    <w:p w:rsidR="00DC7055" w:rsidRPr="00B8679D" w:rsidRDefault="00DC7055" w:rsidP="00C454F6">
      <w:pPr>
        <w:pStyle w:val="Heading2"/>
        <w:jc w:val="both"/>
        <w:rPr>
          <w:rFonts w:ascii="Times New Roman" w:hAnsi="Times New Roman"/>
          <w:i w:val="0"/>
          <w:iCs w:val="0"/>
          <w:sz w:val="24"/>
          <w:szCs w:val="24"/>
          <w:u w:val="single"/>
          <w:lang w:val="sr-Cyrl-RS"/>
        </w:rPr>
      </w:pPr>
      <w:r w:rsidRPr="00B8679D">
        <w:rPr>
          <w:rFonts w:ascii="Times New Roman" w:hAnsi="Times New Roman"/>
          <w:i w:val="0"/>
          <w:iCs w:val="0"/>
          <w:sz w:val="24"/>
          <w:szCs w:val="24"/>
          <w:u w:val="single"/>
          <w:lang w:val="sr"/>
        </w:rPr>
        <w:lastRenderedPageBreak/>
        <w:t xml:space="preserve">Јурисдикције на које се односи позив који је ФАТФ упутио својим чланицама и другим јурисдикцијама за примену појачаних радњи </w:t>
      </w:r>
      <w:r w:rsidR="00F7034A" w:rsidRPr="00B8679D">
        <w:rPr>
          <w:rFonts w:ascii="Times New Roman" w:hAnsi="Times New Roman"/>
          <w:i w:val="0"/>
          <w:iCs w:val="0"/>
          <w:sz w:val="24"/>
          <w:szCs w:val="24"/>
          <w:u w:val="single"/>
          <w:lang w:val="sr"/>
        </w:rPr>
        <w:t>сразмерно ризицима који происти</w:t>
      </w:r>
      <w:r w:rsidR="00F7034A" w:rsidRPr="00B8679D">
        <w:rPr>
          <w:rFonts w:ascii="Times New Roman" w:hAnsi="Times New Roman"/>
          <w:i w:val="0"/>
          <w:iCs w:val="0"/>
          <w:sz w:val="24"/>
          <w:szCs w:val="24"/>
          <w:u w:val="single"/>
          <w:lang w:val="sr-Cyrl-RS"/>
        </w:rPr>
        <w:t>ч</w:t>
      </w:r>
      <w:r w:rsidR="00F7034A" w:rsidRPr="00B8679D">
        <w:rPr>
          <w:rFonts w:ascii="Times New Roman" w:hAnsi="Times New Roman"/>
          <w:i w:val="0"/>
          <w:iCs w:val="0"/>
          <w:sz w:val="24"/>
          <w:szCs w:val="24"/>
          <w:u w:val="single"/>
          <w:lang w:val="sr"/>
        </w:rPr>
        <w:t>у из те јурисдикције</w:t>
      </w:r>
      <w:r w:rsidR="00B11386" w:rsidRPr="00B8679D">
        <w:rPr>
          <w:rFonts w:ascii="Times New Roman" w:hAnsi="Times New Roman"/>
          <w:i w:val="0"/>
          <w:iCs w:val="0"/>
          <w:sz w:val="24"/>
          <w:szCs w:val="24"/>
          <w:u w:val="single"/>
          <w:lang w:val="sr-Cyrl-RS"/>
        </w:rPr>
        <w:t>:</w:t>
      </w:r>
    </w:p>
    <w:p w:rsidR="00F7034A" w:rsidRPr="00B8679D" w:rsidRDefault="00F7034A" w:rsidP="00F7034A">
      <w:pPr>
        <w:rPr>
          <w:rFonts w:ascii="Times New Roman" w:eastAsia="Times New Roman" w:hAnsi="Times New Roman"/>
          <w:sz w:val="24"/>
          <w:szCs w:val="24"/>
          <w:lang w:val="sr"/>
        </w:rPr>
      </w:pPr>
    </w:p>
    <w:p w:rsidR="00F7034A" w:rsidRPr="00B8679D" w:rsidRDefault="00F7034A" w:rsidP="00F7034A">
      <w:pPr>
        <w:rPr>
          <w:rFonts w:ascii="Times New Roman" w:eastAsia="Times New Roman" w:hAnsi="Times New Roman"/>
          <w:sz w:val="24"/>
          <w:szCs w:val="24"/>
          <w:lang w:val="sr"/>
        </w:rPr>
      </w:pPr>
      <w:r w:rsidRPr="00B8679D">
        <w:rPr>
          <w:rFonts w:ascii="Times New Roman" w:eastAsia="Times New Roman" w:hAnsi="Times New Roman"/>
          <w:sz w:val="24"/>
          <w:szCs w:val="24"/>
          <w:lang w:val="sr"/>
        </w:rPr>
        <w:t>ФАТФ позива на примену појачане дужне пажње – а не контрамера – на доле наведену јурисдикцију.</w:t>
      </w:r>
    </w:p>
    <w:p w:rsidR="00DC7055" w:rsidRPr="00B8679D" w:rsidRDefault="00DC7055" w:rsidP="00C454F6">
      <w:pPr>
        <w:pStyle w:val="Heading3"/>
        <w:jc w:val="both"/>
        <w:rPr>
          <w:rFonts w:ascii="Times New Roman" w:hAnsi="Times New Roman"/>
          <w:bCs w:val="0"/>
          <w:sz w:val="24"/>
          <w:szCs w:val="24"/>
        </w:rPr>
      </w:pPr>
      <w:r w:rsidRPr="00B8679D">
        <w:rPr>
          <w:rFonts w:ascii="Times New Roman" w:hAnsi="Times New Roman"/>
          <w:sz w:val="24"/>
          <w:szCs w:val="24"/>
          <w:lang w:val="sr"/>
        </w:rPr>
        <w:t>МЈАНМАР</w:t>
      </w:r>
    </w:p>
    <w:p w:rsidR="00DC7055" w:rsidRPr="00B8679D" w:rsidRDefault="00DC7055" w:rsidP="00C454F6">
      <w:pPr>
        <w:pStyle w:val="NormalWeb"/>
        <w:jc w:val="both"/>
      </w:pPr>
      <w:r w:rsidRPr="00B8679D">
        <w:rPr>
          <w:lang w:val="sr"/>
        </w:rPr>
        <w:t xml:space="preserve">У фебруару 2020. године Мјанмар се обавезао на решавање стратешких недостатака.  Акциони план Мјанмара истекао је у септембру 2021. године. </w:t>
      </w:r>
    </w:p>
    <w:p w:rsidR="00DC7055" w:rsidRPr="00B8679D" w:rsidRDefault="00DC7055" w:rsidP="00C454F6">
      <w:pPr>
        <w:pStyle w:val="NormalWeb"/>
        <w:jc w:val="both"/>
      </w:pPr>
      <w:r w:rsidRPr="00B8679D">
        <w:rPr>
          <w:lang w:val="sr"/>
        </w:rPr>
        <w:t>У октобру 2022. године, с обзиром на трајни изостанак напретка и на то да већина ставки из Акционог плана још није испуњена ни годину након истека рока Акционог плана, ФАТФ је одлучио да је неопходна даља акција у складу са процедурама и ФАТФ позива своје чланице и друге јурисдикције да примењују појачане радње и мере сразмерно ризицима који проистичу од Мјанмара.  ФАТФ захтева да као део појачаних радњи и мера финансијске институције повећају степен и природу праћења пословног односа како би утврдиле да ли се те  трансакције или активности чине неуобичајеним или сумњивим.  Уколико се не постигн</w:t>
      </w:r>
      <w:r w:rsidR="00A15421" w:rsidRPr="00B8679D">
        <w:rPr>
          <w:lang w:val="sr"/>
        </w:rPr>
        <w:t xml:space="preserve">е даљи напредак до </w:t>
      </w:r>
      <w:r w:rsidR="007D2480" w:rsidRPr="00B8679D">
        <w:rPr>
          <w:lang w:val="sr-Cyrl-RS"/>
        </w:rPr>
        <w:t>јуна</w:t>
      </w:r>
      <w:r w:rsidR="00A15421" w:rsidRPr="00B8679D">
        <w:rPr>
          <w:lang w:val="sr"/>
        </w:rPr>
        <w:t xml:space="preserve"> 2026</w:t>
      </w:r>
      <w:r w:rsidRPr="00B8679D">
        <w:rPr>
          <w:lang w:val="sr"/>
        </w:rPr>
        <w:t xml:space="preserve">, ФАТФ ће размотрити противмере. </w:t>
      </w:r>
    </w:p>
    <w:p w:rsidR="00DC7055" w:rsidRPr="00B8679D" w:rsidRDefault="007D2480" w:rsidP="007D2480">
      <w:pPr>
        <w:pStyle w:val="HTMLPreformatted"/>
        <w:jc w:val="both"/>
        <w:rPr>
          <w:rFonts w:ascii="Times New Roman" w:hAnsi="Times New Roman" w:cs="Times New Roman"/>
          <w:sz w:val="24"/>
          <w:szCs w:val="24"/>
          <w:lang w:val="sr"/>
        </w:rPr>
      </w:pPr>
      <w:r w:rsidRPr="00B8679D">
        <w:rPr>
          <w:rFonts w:ascii="Times New Roman" w:hAnsi="Times New Roman" w:cs="Times New Roman"/>
          <w:sz w:val="24"/>
          <w:szCs w:val="24"/>
          <w:lang w:val="sr"/>
        </w:rPr>
        <w:t>Мјанмар треба хитно да ради на спровођењу свог акционог плана ФАТФ-а како би се отклонили његови стратешки недостаци, укључујући</w:t>
      </w:r>
      <w:r w:rsidR="00DC7055" w:rsidRPr="00B8679D">
        <w:rPr>
          <w:rFonts w:ascii="Times New Roman" w:hAnsi="Times New Roman" w:cs="Times New Roman"/>
          <w:sz w:val="24"/>
          <w:szCs w:val="24"/>
          <w:lang w:val="sr"/>
        </w:rPr>
        <w:t>:  (1) показати појачано коришћење финансијскообавештајних података у истрагама које воде полиција/тужилаштво и повећати оперативну анализу и прослеђивање података од стране финансијскообавештајне службе (ФОС); (2) обезбедити да се прање новца истражује/кривично гони у складу са ризицима; (3) показати истрагу транснационалних случајева прања новца уз међународну сарадњу; (4) показати појачано замрзавање/привремено и трајно одузимање прихода од криминалне активности, предмета односно</w:t>
      </w:r>
      <w:r w:rsidR="00A15421" w:rsidRPr="00B8679D">
        <w:rPr>
          <w:rFonts w:ascii="Times New Roman" w:hAnsi="Times New Roman" w:cs="Times New Roman"/>
          <w:sz w:val="24"/>
          <w:szCs w:val="24"/>
          <w:lang w:val="sr"/>
        </w:rPr>
        <w:t xml:space="preserve"> имовине у једнакој вредности.</w:t>
      </w:r>
      <w:r w:rsidR="00DC7055" w:rsidRPr="00B8679D">
        <w:rPr>
          <w:rFonts w:ascii="Times New Roman" w:hAnsi="Times New Roman" w:cs="Times New Roman"/>
          <w:sz w:val="24"/>
          <w:szCs w:val="24"/>
          <w:lang w:val="sr"/>
        </w:rPr>
        <w:t xml:space="preserve"> </w:t>
      </w:r>
    </w:p>
    <w:p w:rsidR="00A15421" w:rsidRPr="00B8679D" w:rsidRDefault="00DC7055" w:rsidP="00C454F6">
      <w:pPr>
        <w:pStyle w:val="NormalWeb"/>
        <w:jc w:val="both"/>
        <w:rPr>
          <w:lang w:val="sr"/>
        </w:rPr>
      </w:pPr>
      <w:r w:rsidRPr="00B8679D">
        <w:rPr>
          <w:lang w:val="sr"/>
        </w:rPr>
        <w:t>Када примењују појачане ра</w:t>
      </w:r>
      <w:r w:rsidR="00FC7CF3" w:rsidRPr="00B8679D">
        <w:rPr>
          <w:lang w:val="sr-Cyrl-RS"/>
        </w:rPr>
        <w:t>д</w:t>
      </w:r>
      <w:r w:rsidRPr="00B8679D">
        <w:rPr>
          <w:lang w:val="sr"/>
        </w:rPr>
        <w:t>ње и мере, државе треб</w:t>
      </w:r>
      <w:r w:rsidR="00F72DED" w:rsidRPr="00B8679D">
        <w:rPr>
          <w:lang w:val="sr"/>
        </w:rPr>
        <w:t>а да обезбеде да се проток новча</w:t>
      </w:r>
      <w:r w:rsidRPr="00B8679D">
        <w:rPr>
          <w:lang w:val="sr"/>
        </w:rPr>
        <w:t>них средстава за хуманитарну помоћ, закониту активност непрофитних организација и до</w:t>
      </w:r>
      <w:r w:rsidR="005624CD" w:rsidRPr="00B8679D">
        <w:rPr>
          <w:lang w:val="sr"/>
        </w:rPr>
        <w:t xml:space="preserve">знаке не ремети и не спречава. </w:t>
      </w:r>
      <w:r w:rsidR="005624CD" w:rsidRPr="00B8679D">
        <w:rPr>
          <w:lang w:val="sr-Cyrl-RS"/>
        </w:rPr>
        <w:t>У</w:t>
      </w:r>
      <w:r w:rsidR="00A15421" w:rsidRPr="00B8679D">
        <w:rPr>
          <w:lang w:val="sr"/>
        </w:rPr>
        <w:t xml:space="preserve"> вези са напорима за помоћ услед земљотреса у Мјанмару, ФАТФ </w:t>
      </w:r>
      <w:r w:rsidR="005624CD" w:rsidRPr="00B8679D">
        <w:rPr>
          <w:lang w:val="sr-Cyrl-RS"/>
        </w:rPr>
        <w:t xml:space="preserve">нарочито </w:t>
      </w:r>
      <w:r w:rsidR="00A15421" w:rsidRPr="00B8679D">
        <w:rPr>
          <w:lang w:val="sr"/>
        </w:rPr>
        <w:t xml:space="preserve">препознаје </w:t>
      </w:r>
      <w:r w:rsidR="00F72DED" w:rsidRPr="00B8679D">
        <w:rPr>
          <w:lang w:val="sr-Cyrl-RS"/>
        </w:rPr>
        <w:t xml:space="preserve">колико је </w:t>
      </w:r>
      <w:r w:rsidR="00A15421" w:rsidRPr="00B8679D">
        <w:rPr>
          <w:lang w:val="sr"/>
        </w:rPr>
        <w:t>важно</w:t>
      </w:r>
      <w:r w:rsidR="00F72DED" w:rsidRPr="00B8679D">
        <w:rPr>
          <w:lang w:val="sr-Cyrl-RS"/>
        </w:rPr>
        <w:t xml:space="preserve"> обезбедити </w:t>
      </w:r>
      <w:r w:rsidR="00A15421" w:rsidRPr="00B8679D">
        <w:rPr>
          <w:lang w:val="sr"/>
        </w:rPr>
        <w:t>да спровођење препорука не утиче негативно и несразмерн</w:t>
      </w:r>
      <w:r w:rsidR="00F72DED" w:rsidRPr="00B8679D">
        <w:rPr>
          <w:lang w:val="sr"/>
        </w:rPr>
        <w:t>о на непрофитне ор</w:t>
      </w:r>
      <w:r w:rsidR="005624CD" w:rsidRPr="00B8679D">
        <w:rPr>
          <w:lang w:val="sr"/>
        </w:rPr>
        <w:t xml:space="preserve">ганизације и да </w:t>
      </w:r>
      <w:r w:rsidR="00A15421" w:rsidRPr="00B8679D">
        <w:rPr>
          <w:lang w:val="sr"/>
        </w:rPr>
        <w:t>не</w:t>
      </w:r>
      <w:r w:rsidR="00F72DED" w:rsidRPr="00B8679D">
        <w:rPr>
          <w:lang w:val="sr-Cyrl-RS"/>
        </w:rPr>
        <w:t>потребно не</w:t>
      </w:r>
      <w:r w:rsidR="00A15421" w:rsidRPr="00B8679D">
        <w:rPr>
          <w:lang w:val="sr"/>
        </w:rPr>
        <w:t xml:space="preserve"> омета цивилно друштво и пружање хуманитарне помоћи. </w:t>
      </w:r>
    </w:p>
    <w:p w:rsidR="00DC7055" w:rsidRPr="00B8679D" w:rsidRDefault="00DC7055" w:rsidP="00C454F6">
      <w:pPr>
        <w:pStyle w:val="NormalWeb"/>
        <w:jc w:val="both"/>
      </w:pPr>
      <w:r w:rsidRPr="00B8679D">
        <w:rPr>
          <w:lang w:val="sr"/>
        </w:rPr>
        <w:t xml:space="preserve">ФАТФ ће такође наставити да прати да ли активности које Мјанмар предузима на спречавању прања новца и финансирања тероризма непотребно ометају законите финансијске токове. </w:t>
      </w:r>
    </w:p>
    <w:p w:rsidR="00DC7055" w:rsidRPr="00B8679D" w:rsidRDefault="00DC7055" w:rsidP="00C454F6">
      <w:pPr>
        <w:pStyle w:val="NormalWeb"/>
        <w:jc w:val="both"/>
      </w:pPr>
      <w:r w:rsidRPr="00B8679D">
        <w:rPr>
          <w:lang w:val="sr"/>
        </w:rPr>
        <w:t>Мјанмар ће остати на листи држава које подлежу позиву за акцију док се акциони план у потпуности не испуни.  </w:t>
      </w:r>
    </w:p>
    <w:p w:rsidR="00577D74" w:rsidRPr="00B8679D" w:rsidRDefault="00577D74" w:rsidP="002E5E5D">
      <w:pPr>
        <w:pStyle w:val="Heading5"/>
        <w:jc w:val="both"/>
        <w:rPr>
          <w:rFonts w:ascii="Times New Roman" w:hAnsi="Times New Roman"/>
          <w:sz w:val="24"/>
          <w:szCs w:val="24"/>
          <w:u w:val="single"/>
          <w:lang w:val="sr"/>
        </w:rPr>
      </w:pPr>
      <w:r w:rsidRPr="00B8679D">
        <w:rPr>
          <w:rFonts w:ascii="Times New Roman" w:hAnsi="Times New Roman"/>
          <w:i w:val="0"/>
          <w:iCs w:val="0"/>
          <w:sz w:val="24"/>
          <w:szCs w:val="24"/>
          <w:u w:val="single"/>
          <w:lang w:val="sr"/>
        </w:rPr>
        <w:lastRenderedPageBreak/>
        <w:t xml:space="preserve">Јурисдикције под појачаним праћењем - </w:t>
      </w:r>
      <w:r w:rsidRPr="00B8679D">
        <w:rPr>
          <w:rFonts w:ascii="Times New Roman" w:hAnsi="Times New Roman"/>
          <w:sz w:val="24"/>
          <w:szCs w:val="24"/>
          <w:u w:val="single"/>
          <w:lang w:val="sr"/>
        </w:rPr>
        <w:t xml:space="preserve">сива листа </w:t>
      </w:r>
      <w:r w:rsidR="009A6210" w:rsidRPr="00B8679D">
        <w:rPr>
          <w:rFonts w:ascii="Times New Roman" w:hAnsi="Times New Roman"/>
          <w:i w:val="0"/>
          <w:iCs w:val="0"/>
          <w:sz w:val="24"/>
          <w:szCs w:val="24"/>
          <w:u w:val="single"/>
          <w:lang w:val="sr"/>
        </w:rPr>
        <w:t>(</w:t>
      </w:r>
      <w:r w:rsidR="007D2480" w:rsidRPr="00B8679D">
        <w:rPr>
          <w:rFonts w:ascii="Times New Roman" w:hAnsi="Times New Roman"/>
          <w:i w:val="0"/>
          <w:iCs w:val="0"/>
          <w:sz w:val="24"/>
          <w:szCs w:val="24"/>
          <w:u w:val="single"/>
          <w:lang w:val="sr-Cyrl-RS"/>
        </w:rPr>
        <w:t>13.02.2026</w:t>
      </w:r>
      <w:r w:rsidRPr="00B8679D">
        <w:rPr>
          <w:rFonts w:ascii="Times New Roman" w:hAnsi="Times New Roman"/>
          <w:i w:val="0"/>
          <w:iCs w:val="0"/>
          <w:sz w:val="24"/>
          <w:szCs w:val="24"/>
          <w:u w:val="single"/>
          <w:lang w:val="sr"/>
        </w:rPr>
        <w:t>. године)</w:t>
      </w:r>
      <w:r w:rsidR="002E5E5D" w:rsidRPr="00B8679D">
        <w:rPr>
          <w:rFonts w:ascii="Times New Roman" w:hAnsi="Times New Roman"/>
          <w:sz w:val="24"/>
          <w:szCs w:val="24"/>
          <w:u w:val="single"/>
          <w:lang w:val="sr"/>
        </w:rPr>
        <w:t xml:space="preserve"> </w:t>
      </w:r>
    </w:p>
    <w:p w:rsidR="00A15FCD" w:rsidRPr="00B8679D" w:rsidRDefault="00A15FCD" w:rsidP="00A15FCD">
      <w:pPr>
        <w:rPr>
          <w:rFonts w:ascii="Times New Roman" w:hAnsi="Times New Roman"/>
          <w:b/>
          <w:sz w:val="24"/>
          <w:szCs w:val="24"/>
          <w:lang w:val="sr-Cyrl-RS"/>
        </w:rPr>
      </w:pPr>
      <w:r w:rsidRPr="00B8679D">
        <w:rPr>
          <w:rFonts w:ascii="Times New Roman" w:hAnsi="Times New Roman"/>
          <w:b/>
          <w:sz w:val="24"/>
          <w:szCs w:val="24"/>
          <w:lang w:val="sr-Cyrl-RS"/>
        </w:rPr>
        <w:t>(</w:t>
      </w:r>
      <w:hyperlink r:id="rId10" w:history="1">
        <w:r w:rsidRPr="00B8679D">
          <w:rPr>
            <w:rStyle w:val="Hyperlink"/>
            <w:rFonts w:ascii="Times New Roman" w:hAnsi="Times New Roman"/>
            <w:b/>
            <w:sz w:val="24"/>
            <w:szCs w:val="24"/>
            <w:lang w:val="sr"/>
          </w:rPr>
          <w:t>https://www.fatf-gafi.org/content/fatf-gafi/en/publications/High-risk-and-other-monitored-jurisdictions/increased-monitoring-february-2026.html</w:t>
        </w:r>
      </w:hyperlink>
      <w:r w:rsidRPr="00B8679D">
        <w:rPr>
          <w:rFonts w:ascii="Times New Roman" w:hAnsi="Times New Roman"/>
          <w:b/>
          <w:sz w:val="24"/>
          <w:szCs w:val="24"/>
          <w:lang w:val="sr-Cyrl-RS"/>
        </w:rPr>
        <w:t>)</w:t>
      </w:r>
    </w:p>
    <w:p w:rsidR="00577D74" w:rsidRPr="00B8679D" w:rsidRDefault="00577D74" w:rsidP="00C454F6">
      <w:pPr>
        <w:pStyle w:val="NormalWeb"/>
        <w:jc w:val="both"/>
      </w:pPr>
      <w:r w:rsidRPr="00B8679D">
        <w:rPr>
          <w:lang w:val="sr"/>
        </w:rPr>
        <w:t>Јурисдикције под појачаним праћењем активно раде са ФАТФ на решавању стратешких недостатака у својим системима за борбу против прања новца, финансирања тероризма и ширења ОМУ. Када ФАТФ стави јурисдикцију под појачано праћење, то значи да се држава обавезала да хитро решава препознате стратешке недостатке према договореним роковима и да подлеже појачаном праћењу.  О</w:t>
      </w:r>
      <w:r w:rsidR="002E5E5D" w:rsidRPr="00B8679D">
        <w:rPr>
          <w:lang w:val="sr"/>
        </w:rPr>
        <w:t>ва листа се често екстерно зове</w:t>
      </w:r>
      <w:r w:rsidRPr="00B8679D">
        <w:rPr>
          <w:lang w:val="sr"/>
        </w:rPr>
        <w:t xml:space="preserve"> </w:t>
      </w:r>
      <w:r w:rsidRPr="00B8679D">
        <w:rPr>
          <w:i/>
          <w:iCs/>
          <w:lang w:val="sr"/>
        </w:rPr>
        <w:t>сива листа.</w:t>
      </w:r>
    </w:p>
    <w:p w:rsidR="00577D74" w:rsidRPr="00B8679D" w:rsidRDefault="00577D74" w:rsidP="00C454F6">
      <w:pPr>
        <w:pStyle w:val="NormalWeb"/>
        <w:jc w:val="both"/>
      </w:pPr>
      <w:r w:rsidRPr="00B8679D">
        <w:rPr>
          <w:lang w:val="sr"/>
        </w:rPr>
        <w:t xml:space="preserve">ФАТФ и регионална тела устројена по узору на ФАТФ (ФСРБ) настављају да раде са доле наведеним јурисдикцијама док извештавају о постигнутом напретку у решавању својих стратешких недостатака.  ФАТФ позива ове јурисдикције да испуне своје акционе планове експедитивно и у договореним роковима.  ФАТФ поздравља њихову посвећеност и интензивно ће пратити њихов напредак.  ФАТФ не позива на примену појачаних радњи и мера на ове јурисдикције.  Стандарди ФАТФ не предвиђају управљање ризиком на недозвољен начин (derisking) нити одстрањивање целих класа клијената, већ позива на приступ заснован на ризику.  Стога ФАТФ подстиче своје чланице и све јурисдикције да узму у обзир доле наведене информације у својој анализи ризика. Док разматрају предузимање акције на основу анализе ризика узимајући у обзир доле наведене информације, државе треба да обезбеде да се проток новачних средстава за хуманитарну помоћ, закониту активност непрофитних организација и дознаке не ремети нити спречава. Државе такође треба да размотре своје међународне обавезе према Резолуцији </w:t>
      </w:r>
      <w:r w:rsidR="002E5E5D" w:rsidRPr="00B8679D">
        <w:rPr>
          <w:lang w:val="sr"/>
        </w:rPr>
        <w:t>2761 (2024</w:t>
      </w:r>
      <w:r w:rsidRPr="00B8679D">
        <w:rPr>
          <w:lang w:val="sr"/>
        </w:rPr>
        <w:t xml:space="preserve">) СБУН у погледу изузимања у хуманитарне сврхе  од мера за ограничавање располагања имовином које налажу режими санцкија УН. </w:t>
      </w:r>
    </w:p>
    <w:p w:rsidR="00577D74" w:rsidRPr="00B8679D" w:rsidRDefault="00577D74" w:rsidP="00C454F6">
      <w:pPr>
        <w:pStyle w:val="NormalWeb"/>
        <w:jc w:val="both"/>
      </w:pPr>
      <w:r w:rsidRPr="00B8679D">
        <w:rPr>
          <w:lang w:val="sr"/>
        </w:rPr>
        <w:t xml:space="preserve">ФАТФ континуирано препознаје још неке јурисдикције са стратешким недостацима у својим системима за борбу против прања новца, финансирања тероризма и ширења ОМУ. Један број јурисдикција још увек није био предмет разматрања и анализе  ФАТФ или ФСРБ, али ће у догледно време бити. </w:t>
      </w:r>
    </w:p>
    <w:p w:rsidR="00577D74" w:rsidRPr="00B8679D" w:rsidRDefault="00577D74" w:rsidP="00C454F6">
      <w:pPr>
        <w:pStyle w:val="NormalWeb"/>
        <w:jc w:val="both"/>
        <w:rPr>
          <w:lang w:val="sr-Cyrl-RS"/>
        </w:rPr>
      </w:pPr>
      <w:r w:rsidRPr="00B8679D">
        <w:rPr>
          <w:lang w:val="sr"/>
        </w:rPr>
        <w:t xml:space="preserve">ФАТФ пружа одређену флексибилност јурисдикцијама које се не суочавају са моменталним роковима за извештавање о напретку на добровољној основи.  Од </w:t>
      </w:r>
      <w:r w:rsidR="00A15FCD" w:rsidRPr="00B8679D">
        <w:rPr>
          <w:lang w:val="sr-Cyrl-RS"/>
        </w:rPr>
        <w:t>октобра</w:t>
      </w:r>
      <w:r w:rsidR="009A6210" w:rsidRPr="00B8679D">
        <w:rPr>
          <w:lang w:val="sr-Cyrl-RS"/>
        </w:rPr>
        <w:t xml:space="preserve"> 2025.</w:t>
      </w:r>
      <w:r w:rsidR="002E5E5D" w:rsidRPr="00B8679D">
        <w:rPr>
          <w:lang w:val="sr"/>
        </w:rPr>
        <w:t xml:space="preserve"> Ф</w:t>
      </w:r>
      <w:r w:rsidRPr="00B8679D">
        <w:rPr>
          <w:lang w:val="sr"/>
        </w:rPr>
        <w:t>А</w:t>
      </w:r>
      <w:r w:rsidR="002E5E5D" w:rsidRPr="00B8679D">
        <w:rPr>
          <w:lang w:val="sr-Cyrl-RS"/>
        </w:rPr>
        <w:t>Т</w:t>
      </w:r>
      <w:r w:rsidRPr="00B8679D">
        <w:rPr>
          <w:lang w:val="sr"/>
        </w:rPr>
        <w:t xml:space="preserve">Ф је разматрао и анализирао напредак следећих држава:  </w:t>
      </w:r>
      <w:r w:rsidR="009A6210" w:rsidRPr="00B8679D">
        <w:rPr>
          <w:lang w:val="sr-Cyrl-RS"/>
        </w:rPr>
        <w:t xml:space="preserve">Алжира, Анголе, </w:t>
      </w:r>
      <w:r w:rsidR="00A15FCD" w:rsidRPr="00B8679D">
        <w:rPr>
          <w:lang w:val="sr-Cyrl-RS"/>
        </w:rPr>
        <w:t xml:space="preserve">Боливије, </w:t>
      </w:r>
      <w:r w:rsidRPr="00B8679D">
        <w:rPr>
          <w:lang w:val="sr"/>
        </w:rPr>
        <w:t xml:space="preserve">Бугарске, Камеруна, </w:t>
      </w:r>
      <w:r w:rsidR="009A6210" w:rsidRPr="00B8679D">
        <w:rPr>
          <w:lang w:val="sr-Cyrl-RS"/>
        </w:rPr>
        <w:t>Обале Слоноваче</w:t>
      </w:r>
      <w:r w:rsidRPr="00B8679D">
        <w:rPr>
          <w:lang w:val="sr"/>
        </w:rPr>
        <w:t xml:space="preserve">, Демократске Републике Конго, </w:t>
      </w:r>
      <w:r w:rsidR="009A6210" w:rsidRPr="00B8679D">
        <w:rPr>
          <w:lang w:val="sr-Cyrl-RS"/>
        </w:rPr>
        <w:t>Кеније, Лаоса,</w:t>
      </w:r>
      <w:r w:rsidR="00A15FCD" w:rsidRPr="00B8679D">
        <w:rPr>
          <w:lang w:val="sr-Cyrl-RS"/>
        </w:rPr>
        <w:t xml:space="preserve"> Либана,</w:t>
      </w:r>
      <w:r w:rsidR="009A6210" w:rsidRPr="00B8679D">
        <w:rPr>
          <w:lang w:val="sr-Cyrl-RS"/>
        </w:rPr>
        <w:t xml:space="preserve"> Монака, </w:t>
      </w:r>
      <w:r w:rsidRPr="00B8679D">
        <w:rPr>
          <w:lang w:val="sr"/>
        </w:rPr>
        <w:t>Намибије,</w:t>
      </w:r>
      <w:r w:rsidR="009A6210" w:rsidRPr="00B8679D">
        <w:rPr>
          <w:lang w:val="sr-Cyrl-RS"/>
        </w:rPr>
        <w:t xml:space="preserve"> Непала,</w:t>
      </w:r>
      <w:r w:rsidRPr="00B8679D">
        <w:rPr>
          <w:lang w:val="sr"/>
        </w:rPr>
        <w:t xml:space="preserve"> Јужног Судана,</w:t>
      </w:r>
      <w:r w:rsidR="00A15FCD" w:rsidRPr="00B8679D">
        <w:rPr>
          <w:lang w:val="sr-Cyrl-RS"/>
        </w:rPr>
        <w:t xml:space="preserve"> Венецуеле,</w:t>
      </w:r>
      <w:r w:rsidRPr="00B8679D">
        <w:rPr>
          <w:lang w:val="sr"/>
        </w:rPr>
        <w:t xml:space="preserve"> Вијетнама</w:t>
      </w:r>
      <w:r w:rsidR="00A15FCD" w:rsidRPr="00B8679D">
        <w:rPr>
          <w:lang w:val="sr-Cyrl-RS"/>
        </w:rPr>
        <w:t>, Британских Девичанских Острва и Јемена</w:t>
      </w:r>
      <w:r w:rsidRPr="00B8679D">
        <w:rPr>
          <w:lang w:val="sr"/>
        </w:rPr>
        <w:t xml:space="preserve">. </w:t>
      </w:r>
      <w:r w:rsidR="00FF739D" w:rsidRPr="00B8679D">
        <w:rPr>
          <w:lang w:val="sr"/>
        </w:rPr>
        <w:t xml:space="preserve"> У наставку текста </w:t>
      </w:r>
      <w:r w:rsidR="00FF739D" w:rsidRPr="00B8679D">
        <w:rPr>
          <w:lang w:val="sr-Cyrl-RS"/>
        </w:rPr>
        <w:t>(на горенаведеном линку</w:t>
      </w:r>
      <w:r w:rsidR="00FF739D" w:rsidRPr="00B8679D">
        <w:rPr>
          <w:rStyle w:val="FootnoteReference"/>
          <w:lang w:val="sr-Cyrl-RS"/>
        </w:rPr>
        <w:footnoteReference w:id="1"/>
      </w:r>
      <w:r w:rsidR="00FF739D" w:rsidRPr="00B8679D">
        <w:rPr>
          <w:lang w:val="sr-Cyrl-RS"/>
        </w:rPr>
        <w:t>)</w:t>
      </w:r>
      <w:r w:rsidRPr="00B8679D">
        <w:rPr>
          <w:lang w:val="sr"/>
        </w:rPr>
        <w:t xml:space="preserve"> наведене су </w:t>
      </w:r>
      <w:r w:rsidR="00FF739D" w:rsidRPr="00B8679D">
        <w:rPr>
          <w:lang w:val="sr"/>
        </w:rPr>
        <w:t>ажуриране изјаве за ове државе</w:t>
      </w:r>
      <w:r w:rsidR="00FF739D" w:rsidRPr="00B8679D">
        <w:rPr>
          <w:lang w:val="sr-Cyrl-RS"/>
        </w:rPr>
        <w:t>.</w:t>
      </w:r>
      <w:r w:rsidRPr="00B8679D">
        <w:rPr>
          <w:lang w:val="sr"/>
        </w:rPr>
        <w:t xml:space="preserve"> </w:t>
      </w:r>
      <w:r w:rsidR="00A15FCD" w:rsidRPr="00B8679D">
        <w:rPr>
          <w:lang w:val="sr-Cyrl-RS"/>
        </w:rPr>
        <w:t xml:space="preserve">Хаити и Сирија </w:t>
      </w:r>
      <w:r w:rsidRPr="00B8679D">
        <w:rPr>
          <w:lang w:val="sr"/>
        </w:rPr>
        <w:t xml:space="preserve">одлучиле су да одложе извештавање, тако да су у наставку текста наведене претходно објављене изјаве за ове државе али оне не одражавају нужно најновији статус система за борбу против ПН/ФТ у овим јурисдикцијама. </w:t>
      </w:r>
      <w:bookmarkStart w:id="1" w:name="_Hlk170284801"/>
      <w:bookmarkEnd w:id="1"/>
      <w:r w:rsidRPr="00B8679D">
        <w:rPr>
          <w:lang w:val="sr"/>
        </w:rPr>
        <w:t xml:space="preserve"> </w:t>
      </w:r>
      <w:r w:rsidR="00A15FCD" w:rsidRPr="00B8679D">
        <w:rPr>
          <w:lang w:val="sr"/>
        </w:rPr>
        <w:t>Након прегледа, ФАТФ је сада идентификовао и Кувајт и Папуу Нову Гвинеју.</w:t>
      </w:r>
    </w:p>
    <w:p w:rsidR="00FF2414" w:rsidRPr="00B8679D" w:rsidRDefault="00FF2414" w:rsidP="00C454F6">
      <w:pPr>
        <w:spacing w:before="100" w:beforeAutospacing="1" w:after="100" w:afterAutospacing="1" w:line="240" w:lineRule="auto"/>
        <w:jc w:val="both"/>
        <w:outlineLvl w:val="2"/>
        <w:rPr>
          <w:rFonts w:ascii="Times New Roman" w:eastAsia="Times New Roman" w:hAnsi="Times New Roman"/>
          <w:b/>
          <w:bCs/>
          <w:sz w:val="24"/>
          <w:szCs w:val="24"/>
        </w:rPr>
      </w:pPr>
      <w:r w:rsidRPr="00B8679D">
        <w:rPr>
          <w:rFonts w:ascii="Times New Roman" w:eastAsia="Times New Roman" w:hAnsi="Times New Roman"/>
          <w:b/>
          <w:bCs/>
          <w:sz w:val="24"/>
          <w:szCs w:val="24"/>
          <w:lang w:val="sr"/>
        </w:rPr>
        <w:lastRenderedPageBreak/>
        <w:t>Јурисдикције под појачаним праћењем:</w:t>
      </w:r>
    </w:p>
    <w:p w:rsidR="0038459C" w:rsidRPr="00B8679D" w:rsidRDefault="0038459C"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
        </w:rPr>
        <w:t>Алжир</w:t>
      </w:r>
    </w:p>
    <w:p w:rsidR="00FF2414" w:rsidRPr="00B8679D" w:rsidRDefault="0038459C"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
        </w:rPr>
        <w:t>Ангола</w:t>
      </w:r>
    </w:p>
    <w:p w:rsidR="009A6210" w:rsidRPr="00B8679D" w:rsidRDefault="009A6210"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Cyrl-RS"/>
        </w:rPr>
        <w:t>Боливија</w:t>
      </w:r>
    </w:p>
    <w:p w:rsidR="0038459C" w:rsidRPr="00B8679D" w:rsidRDefault="0038459C"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
        </w:rPr>
        <w:t>Бугарска</w:t>
      </w:r>
    </w:p>
    <w:p w:rsidR="0038459C" w:rsidRPr="00B8679D" w:rsidRDefault="0038459C"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
        </w:rPr>
        <w:t>Камерун</w:t>
      </w:r>
    </w:p>
    <w:p w:rsidR="0038459C" w:rsidRPr="00B8679D" w:rsidRDefault="00FF2414"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
        </w:rPr>
        <w:t>Обала Слоноваче</w:t>
      </w:r>
    </w:p>
    <w:p w:rsidR="00577D74" w:rsidRPr="00B8679D" w:rsidRDefault="00C454F6"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
        </w:rPr>
        <w:t>Демократска Република Конго</w:t>
      </w:r>
    </w:p>
    <w:p w:rsidR="00B30E55" w:rsidRPr="00B8679D" w:rsidRDefault="00C454F6"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
        </w:rPr>
        <w:t>Хаити</w:t>
      </w:r>
    </w:p>
    <w:p w:rsidR="00C454F6" w:rsidRPr="00B8679D" w:rsidRDefault="00C454F6"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
        </w:rPr>
        <w:t>Кенија</w:t>
      </w:r>
    </w:p>
    <w:p w:rsidR="00A15FCD" w:rsidRPr="00B8679D" w:rsidRDefault="00A15FCD"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Cyrl-RS"/>
        </w:rPr>
        <w:t>Кувајт</w:t>
      </w:r>
    </w:p>
    <w:p w:rsidR="00515927" w:rsidRPr="00B8679D" w:rsidRDefault="00515927"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Cyrl-RS"/>
        </w:rPr>
        <w:t>Лаос</w:t>
      </w:r>
    </w:p>
    <w:p w:rsidR="00C454F6" w:rsidRPr="00B8679D" w:rsidRDefault="00C454F6"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
        </w:rPr>
        <w:t>Либан</w:t>
      </w:r>
    </w:p>
    <w:p w:rsidR="00C454F6" w:rsidRPr="00B8679D" w:rsidRDefault="00C454F6"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
        </w:rPr>
        <w:t>Монако</w:t>
      </w:r>
    </w:p>
    <w:p w:rsidR="00C454F6" w:rsidRPr="00B8679D" w:rsidRDefault="00C454F6"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
        </w:rPr>
        <w:t>Намибија</w:t>
      </w:r>
    </w:p>
    <w:p w:rsidR="00515927" w:rsidRPr="00B8679D" w:rsidRDefault="00515927"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Cyrl-RS"/>
        </w:rPr>
        <w:t>Непал</w:t>
      </w:r>
    </w:p>
    <w:p w:rsidR="00A15FCD" w:rsidRPr="00B8679D" w:rsidRDefault="00A15FCD"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Cyrl-RS"/>
        </w:rPr>
        <w:t>Папуа Нова Гвинеја</w:t>
      </w:r>
    </w:p>
    <w:p w:rsidR="00C454F6" w:rsidRPr="00B8679D" w:rsidRDefault="00C454F6"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
        </w:rPr>
        <w:t>Јужни Судан</w:t>
      </w:r>
    </w:p>
    <w:p w:rsidR="00C454F6" w:rsidRPr="00B8679D" w:rsidRDefault="00C454F6"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
        </w:rPr>
        <w:t>Сирија</w:t>
      </w:r>
    </w:p>
    <w:p w:rsidR="00FF2414" w:rsidRPr="00B8679D" w:rsidRDefault="00FF2414" w:rsidP="00FF2414">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
        </w:rPr>
        <w:t xml:space="preserve">Венецуела </w:t>
      </w:r>
    </w:p>
    <w:p w:rsidR="00D17DAA" w:rsidRPr="00B8679D" w:rsidRDefault="00FF2414" w:rsidP="00D17DAA">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
        </w:rPr>
        <w:t>Вијетнам</w:t>
      </w:r>
    </w:p>
    <w:p w:rsidR="009A6210" w:rsidRPr="00B8679D" w:rsidRDefault="00E71D0C" w:rsidP="00D17DAA">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Cyrl-RS"/>
        </w:rPr>
        <w:t xml:space="preserve">Британска </w:t>
      </w:r>
      <w:r w:rsidR="00826348" w:rsidRPr="00B8679D">
        <w:rPr>
          <w:rFonts w:ascii="Times New Roman" w:eastAsia="Times New Roman" w:hAnsi="Times New Roman"/>
          <w:sz w:val="24"/>
          <w:szCs w:val="24"/>
          <w:lang w:val="sr-Cyrl-RS"/>
        </w:rPr>
        <w:t>Девичанска О</w:t>
      </w:r>
      <w:r w:rsidR="009A6210" w:rsidRPr="00B8679D">
        <w:rPr>
          <w:rFonts w:ascii="Times New Roman" w:eastAsia="Times New Roman" w:hAnsi="Times New Roman"/>
          <w:sz w:val="24"/>
          <w:szCs w:val="24"/>
          <w:lang w:val="sr-Cyrl-RS"/>
        </w:rPr>
        <w:t xml:space="preserve">стрва </w:t>
      </w:r>
    </w:p>
    <w:p w:rsidR="00D17DAA" w:rsidRPr="00B8679D" w:rsidRDefault="00FF2414" w:rsidP="00D17DAA">
      <w:pPr>
        <w:pStyle w:val="NoSpacing"/>
        <w:numPr>
          <w:ilvl w:val="0"/>
          <w:numId w:val="2"/>
        </w:numPr>
        <w:rPr>
          <w:rFonts w:ascii="Times New Roman" w:eastAsia="Times New Roman" w:hAnsi="Times New Roman"/>
          <w:sz w:val="24"/>
          <w:szCs w:val="24"/>
        </w:rPr>
      </w:pPr>
      <w:r w:rsidRPr="00B8679D">
        <w:rPr>
          <w:rFonts w:ascii="Times New Roman" w:eastAsia="Times New Roman" w:hAnsi="Times New Roman"/>
          <w:sz w:val="24"/>
          <w:szCs w:val="24"/>
          <w:lang w:val="sr"/>
        </w:rPr>
        <w:t>Јемен</w:t>
      </w:r>
      <w:r w:rsidR="00D17DAA" w:rsidRPr="00B8679D">
        <w:rPr>
          <w:rFonts w:ascii="Times New Roman" w:hAnsi="Times New Roman"/>
          <w:sz w:val="24"/>
          <w:szCs w:val="24"/>
          <w:u w:val="single"/>
          <w:lang w:val="sr"/>
        </w:rPr>
        <w:t xml:space="preserve"> </w:t>
      </w:r>
    </w:p>
    <w:p w:rsidR="00D17DAA" w:rsidRPr="00CC2E76" w:rsidRDefault="00D17DAA" w:rsidP="00D17DAA">
      <w:pPr>
        <w:pStyle w:val="NoSpacing"/>
        <w:rPr>
          <w:rFonts w:ascii="Times New Roman" w:hAnsi="Times New Roman"/>
          <w:sz w:val="24"/>
          <w:szCs w:val="24"/>
          <w:u w:val="single"/>
          <w:lang w:val="sr"/>
        </w:rPr>
      </w:pPr>
    </w:p>
    <w:p w:rsidR="00C454F6" w:rsidRPr="005F4B0F" w:rsidRDefault="00C454F6" w:rsidP="00C454F6">
      <w:pPr>
        <w:rPr>
          <w:rFonts w:ascii="Times New Roman" w:hAnsi="Times New Roman"/>
          <w:sz w:val="24"/>
          <w:szCs w:val="24"/>
        </w:rPr>
      </w:pPr>
    </w:p>
    <w:p w:rsidR="00C454F6" w:rsidRPr="005F4B0F" w:rsidRDefault="00C454F6" w:rsidP="00C454F6">
      <w:pPr>
        <w:rPr>
          <w:rFonts w:ascii="Times New Roman" w:hAnsi="Times New Roman"/>
          <w:sz w:val="24"/>
          <w:szCs w:val="24"/>
        </w:rPr>
      </w:pPr>
    </w:p>
    <w:p w:rsidR="00C454F6" w:rsidRPr="005F4B0F" w:rsidRDefault="00C454F6" w:rsidP="00C454F6">
      <w:pPr>
        <w:rPr>
          <w:rFonts w:ascii="Times New Roman" w:hAnsi="Times New Roman"/>
          <w:sz w:val="24"/>
          <w:szCs w:val="24"/>
        </w:rPr>
      </w:pPr>
    </w:p>
    <w:p w:rsidR="00C454F6" w:rsidRPr="005F4B0F" w:rsidRDefault="00C454F6" w:rsidP="00C454F6">
      <w:pPr>
        <w:pStyle w:val="NormalWeb"/>
      </w:pPr>
    </w:p>
    <w:p w:rsidR="00C454F6" w:rsidRPr="005F4B0F" w:rsidRDefault="00C454F6" w:rsidP="00C454F6">
      <w:pPr>
        <w:rPr>
          <w:rFonts w:ascii="Times New Roman" w:hAnsi="Times New Roman"/>
          <w:sz w:val="24"/>
          <w:szCs w:val="24"/>
        </w:rPr>
      </w:pPr>
    </w:p>
    <w:p w:rsidR="00C454F6" w:rsidRPr="005F4B0F" w:rsidRDefault="00C454F6" w:rsidP="00C454F6">
      <w:pPr>
        <w:rPr>
          <w:rFonts w:ascii="Times New Roman" w:hAnsi="Times New Roman"/>
          <w:sz w:val="24"/>
          <w:szCs w:val="24"/>
        </w:rPr>
      </w:pPr>
    </w:p>
    <w:p w:rsidR="00C454F6" w:rsidRPr="005F4B0F" w:rsidRDefault="00C454F6" w:rsidP="00C454F6">
      <w:pPr>
        <w:spacing w:after="0"/>
        <w:jc w:val="both"/>
        <w:rPr>
          <w:rFonts w:ascii="Times New Roman" w:hAnsi="Times New Roman"/>
          <w:sz w:val="24"/>
          <w:szCs w:val="24"/>
        </w:rPr>
      </w:pPr>
    </w:p>
    <w:sectPr w:rsidR="00C454F6" w:rsidRPr="005F4B0F" w:rsidSect="00B30E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203" w:rsidRDefault="00AB6203" w:rsidP="00FF739D">
      <w:pPr>
        <w:spacing w:after="0" w:line="240" w:lineRule="auto"/>
      </w:pPr>
      <w:r>
        <w:separator/>
      </w:r>
    </w:p>
  </w:endnote>
  <w:endnote w:type="continuationSeparator" w:id="0">
    <w:p w:rsidR="00AB6203" w:rsidRDefault="00AB6203" w:rsidP="00FF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203" w:rsidRDefault="00AB6203" w:rsidP="00FF739D">
      <w:pPr>
        <w:spacing w:after="0" w:line="240" w:lineRule="auto"/>
      </w:pPr>
      <w:r>
        <w:separator/>
      </w:r>
    </w:p>
  </w:footnote>
  <w:footnote w:type="continuationSeparator" w:id="0">
    <w:p w:rsidR="00AB6203" w:rsidRDefault="00AB6203" w:rsidP="00FF739D">
      <w:pPr>
        <w:spacing w:after="0" w:line="240" w:lineRule="auto"/>
      </w:pPr>
      <w:r>
        <w:continuationSeparator/>
      </w:r>
    </w:p>
  </w:footnote>
  <w:footnote w:id="1">
    <w:p w:rsidR="00FF739D" w:rsidRPr="00D17DAA" w:rsidRDefault="007E7D7B" w:rsidP="00D17DAA">
      <w:pPr>
        <w:pStyle w:val="FootnoteText"/>
      </w:pPr>
      <w:r>
        <w:rPr>
          <w:rStyle w:val="FootnoteReference"/>
        </w:rPr>
        <w:footnoteRef/>
      </w:r>
      <w:hyperlink r:id="rId1" w:history="1">
        <w:r w:rsidR="00A15FCD" w:rsidRPr="00A15FCD">
          <w:rPr>
            <w:rStyle w:val="Hyperlink"/>
          </w:rPr>
          <w:t>https://www.fatf-gafi.org/content/fatf-gafi/en/publications/High-risk-and-other-monitored-jurisdictions/increased-monitoring-february-2026.html</w:t>
        </w:r>
      </w:hyperlink>
      <w:r w:rsidR="009B1C61" w:rsidRPr="00D17DA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80A13"/>
    <w:multiLevelType w:val="hybridMultilevel"/>
    <w:tmpl w:val="61A4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3487D"/>
    <w:multiLevelType w:val="hybridMultilevel"/>
    <w:tmpl w:val="6072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C27BC"/>
    <w:multiLevelType w:val="hybridMultilevel"/>
    <w:tmpl w:val="428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A34B2"/>
    <w:multiLevelType w:val="multilevel"/>
    <w:tmpl w:val="7C62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0E"/>
    <w:rsid w:val="0001680E"/>
    <w:rsid w:val="00053C89"/>
    <w:rsid w:val="0007528D"/>
    <w:rsid w:val="0009675B"/>
    <w:rsid w:val="000B61EC"/>
    <w:rsid w:val="00177741"/>
    <w:rsid w:val="001E2C70"/>
    <w:rsid w:val="00250940"/>
    <w:rsid w:val="00263CBD"/>
    <w:rsid w:val="002E5E5D"/>
    <w:rsid w:val="003207EB"/>
    <w:rsid w:val="003324E4"/>
    <w:rsid w:val="0038459C"/>
    <w:rsid w:val="00454268"/>
    <w:rsid w:val="004D3398"/>
    <w:rsid w:val="004F7E83"/>
    <w:rsid w:val="00515927"/>
    <w:rsid w:val="005624CD"/>
    <w:rsid w:val="00570EF0"/>
    <w:rsid w:val="00577D74"/>
    <w:rsid w:val="00593D45"/>
    <w:rsid w:val="005B1647"/>
    <w:rsid w:val="005D6B38"/>
    <w:rsid w:val="005E1DE4"/>
    <w:rsid w:val="005F4B0F"/>
    <w:rsid w:val="00607331"/>
    <w:rsid w:val="0061415F"/>
    <w:rsid w:val="00636F11"/>
    <w:rsid w:val="00657358"/>
    <w:rsid w:val="007128B3"/>
    <w:rsid w:val="00732166"/>
    <w:rsid w:val="00772D3C"/>
    <w:rsid w:val="007800A7"/>
    <w:rsid w:val="007C5440"/>
    <w:rsid w:val="007D2480"/>
    <w:rsid w:val="007E0B11"/>
    <w:rsid w:val="007E7D7B"/>
    <w:rsid w:val="00804914"/>
    <w:rsid w:val="00806D27"/>
    <w:rsid w:val="00826348"/>
    <w:rsid w:val="008B6119"/>
    <w:rsid w:val="00930942"/>
    <w:rsid w:val="00960359"/>
    <w:rsid w:val="009A6210"/>
    <w:rsid w:val="009B1C61"/>
    <w:rsid w:val="009F1B45"/>
    <w:rsid w:val="00A15421"/>
    <w:rsid w:val="00A15FCD"/>
    <w:rsid w:val="00A60568"/>
    <w:rsid w:val="00AB6203"/>
    <w:rsid w:val="00B11386"/>
    <w:rsid w:val="00B30E55"/>
    <w:rsid w:val="00B8679D"/>
    <w:rsid w:val="00BC3793"/>
    <w:rsid w:val="00C1443E"/>
    <w:rsid w:val="00C454F6"/>
    <w:rsid w:val="00CC2E76"/>
    <w:rsid w:val="00D11D4B"/>
    <w:rsid w:val="00D143C1"/>
    <w:rsid w:val="00D17DAA"/>
    <w:rsid w:val="00D36EAF"/>
    <w:rsid w:val="00DA0A9B"/>
    <w:rsid w:val="00DA4CE3"/>
    <w:rsid w:val="00DC7055"/>
    <w:rsid w:val="00E03DBF"/>
    <w:rsid w:val="00E214F4"/>
    <w:rsid w:val="00E33B4F"/>
    <w:rsid w:val="00E71D0C"/>
    <w:rsid w:val="00E8668A"/>
    <w:rsid w:val="00E87F74"/>
    <w:rsid w:val="00EA7351"/>
    <w:rsid w:val="00F7034A"/>
    <w:rsid w:val="00F716A6"/>
    <w:rsid w:val="00F72DED"/>
    <w:rsid w:val="00FC46E4"/>
    <w:rsid w:val="00FC7CF3"/>
    <w:rsid w:val="00FF2414"/>
    <w:rsid w:val="00FF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1C62E-95F1-4FE6-A3A6-B0B45E6E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E55"/>
    <w:pPr>
      <w:spacing w:after="200" w:line="276" w:lineRule="auto"/>
    </w:pPr>
    <w:rPr>
      <w:sz w:val="22"/>
      <w:szCs w:val="22"/>
    </w:rPr>
  </w:style>
  <w:style w:type="paragraph" w:styleId="Heading1">
    <w:name w:val="heading 1"/>
    <w:basedOn w:val="Normal"/>
    <w:link w:val="Heading1Char"/>
    <w:uiPriority w:val="9"/>
    <w:qFormat/>
    <w:rsid w:val="0001680E"/>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3324E4"/>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DC7055"/>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link w:val="Heading5Char"/>
    <w:uiPriority w:val="9"/>
    <w:unhideWhenUsed/>
    <w:qFormat/>
    <w:rsid w:val="0038459C"/>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1680E"/>
    <w:rPr>
      <w:rFonts w:ascii="Times New Roman" w:eastAsia="Times New Roman" w:hAnsi="Times New Roman" w:cs="Times New Roman"/>
      <w:b/>
      <w:bCs/>
      <w:kern w:val="36"/>
      <w:sz w:val="48"/>
      <w:szCs w:val="48"/>
    </w:rPr>
  </w:style>
  <w:style w:type="paragraph" w:customStyle="1" w:styleId="default">
    <w:name w:val="default"/>
    <w:basedOn w:val="Normal"/>
    <w:rsid w:val="0001680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01680E"/>
    <w:rPr>
      <w:i/>
      <w:iCs/>
    </w:rPr>
  </w:style>
  <w:style w:type="paragraph" w:styleId="NormalWeb">
    <w:name w:val="Normal (Web)"/>
    <w:basedOn w:val="Normal"/>
    <w:uiPriority w:val="99"/>
    <w:semiHidden/>
    <w:unhideWhenUsed/>
    <w:rsid w:val="003324E4"/>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semiHidden/>
    <w:rsid w:val="003324E4"/>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DC7055"/>
    <w:rPr>
      <w:rFonts w:ascii="Calibri Light" w:eastAsia="Times New Roman" w:hAnsi="Calibri Light" w:cs="Times New Roman"/>
      <w:b/>
      <w:bCs/>
      <w:sz w:val="26"/>
      <w:szCs w:val="26"/>
    </w:rPr>
  </w:style>
  <w:style w:type="character" w:styleId="CommentReference">
    <w:name w:val="annotation reference"/>
    <w:uiPriority w:val="99"/>
    <w:semiHidden/>
    <w:unhideWhenUsed/>
    <w:rsid w:val="00DC7055"/>
    <w:rPr>
      <w:sz w:val="16"/>
      <w:szCs w:val="16"/>
    </w:rPr>
  </w:style>
  <w:style w:type="paragraph" w:styleId="CommentText">
    <w:name w:val="annotation text"/>
    <w:basedOn w:val="Normal"/>
    <w:link w:val="CommentTextChar"/>
    <w:uiPriority w:val="99"/>
    <w:semiHidden/>
    <w:unhideWhenUsed/>
    <w:rsid w:val="00DC7055"/>
    <w:rPr>
      <w:sz w:val="20"/>
      <w:szCs w:val="20"/>
    </w:rPr>
  </w:style>
  <w:style w:type="character" w:customStyle="1" w:styleId="CommentTextChar">
    <w:name w:val="Comment Text Char"/>
    <w:basedOn w:val="DefaultParagraphFont"/>
    <w:link w:val="CommentText"/>
    <w:uiPriority w:val="99"/>
    <w:semiHidden/>
    <w:rsid w:val="00DC7055"/>
  </w:style>
  <w:style w:type="paragraph" w:styleId="CommentSubject">
    <w:name w:val="annotation subject"/>
    <w:basedOn w:val="CommentText"/>
    <w:next w:val="CommentText"/>
    <w:link w:val="CommentSubjectChar"/>
    <w:uiPriority w:val="99"/>
    <w:semiHidden/>
    <w:unhideWhenUsed/>
    <w:rsid w:val="00DC7055"/>
    <w:rPr>
      <w:b/>
      <w:bCs/>
    </w:rPr>
  </w:style>
  <w:style w:type="character" w:customStyle="1" w:styleId="CommentSubjectChar">
    <w:name w:val="Comment Subject Char"/>
    <w:link w:val="CommentSubject"/>
    <w:uiPriority w:val="99"/>
    <w:semiHidden/>
    <w:rsid w:val="00DC7055"/>
    <w:rPr>
      <w:b/>
      <w:bCs/>
    </w:rPr>
  </w:style>
  <w:style w:type="paragraph" w:styleId="BalloonText">
    <w:name w:val="Balloon Text"/>
    <w:basedOn w:val="Normal"/>
    <w:link w:val="BalloonTextChar"/>
    <w:uiPriority w:val="99"/>
    <w:semiHidden/>
    <w:unhideWhenUsed/>
    <w:rsid w:val="00DC705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C7055"/>
    <w:rPr>
      <w:rFonts w:ascii="Segoe UI" w:hAnsi="Segoe UI" w:cs="Segoe UI"/>
      <w:sz w:val="18"/>
      <w:szCs w:val="18"/>
    </w:rPr>
  </w:style>
  <w:style w:type="character" w:styleId="Hyperlink">
    <w:name w:val="Hyperlink"/>
    <w:uiPriority w:val="99"/>
    <w:unhideWhenUsed/>
    <w:rsid w:val="00DC7055"/>
    <w:rPr>
      <w:color w:val="0563C1"/>
      <w:u w:val="single"/>
    </w:rPr>
  </w:style>
  <w:style w:type="character" w:styleId="FollowedHyperlink">
    <w:name w:val="FollowedHyperlink"/>
    <w:uiPriority w:val="99"/>
    <w:semiHidden/>
    <w:unhideWhenUsed/>
    <w:rsid w:val="00DC7055"/>
    <w:rPr>
      <w:color w:val="954F72"/>
      <w:u w:val="single"/>
    </w:rPr>
  </w:style>
  <w:style w:type="character" w:customStyle="1" w:styleId="Heading5Char">
    <w:name w:val="Heading 5 Char"/>
    <w:link w:val="Heading5"/>
    <w:uiPriority w:val="9"/>
    <w:rsid w:val="0038459C"/>
    <w:rPr>
      <w:rFonts w:ascii="Calibri" w:eastAsia="Times New Roman" w:hAnsi="Calibri" w:cs="Times New Roman"/>
      <w:b/>
      <w:bCs/>
      <w:i/>
      <w:iCs/>
      <w:sz w:val="26"/>
      <w:szCs w:val="26"/>
    </w:rPr>
  </w:style>
  <w:style w:type="paragraph" w:styleId="NoSpacing">
    <w:name w:val="No Spacing"/>
    <w:uiPriority w:val="1"/>
    <w:qFormat/>
    <w:rsid w:val="00FF2414"/>
    <w:rPr>
      <w:sz w:val="22"/>
      <w:szCs w:val="22"/>
    </w:rPr>
  </w:style>
  <w:style w:type="paragraph" w:styleId="HTMLPreformatted">
    <w:name w:val="HTML Preformatted"/>
    <w:basedOn w:val="Normal"/>
    <w:link w:val="HTMLPreformattedChar"/>
    <w:uiPriority w:val="99"/>
    <w:unhideWhenUsed/>
    <w:rsid w:val="00FF2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FF2414"/>
    <w:rPr>
      <w:rFonts w:ascii="Courier New" w:eastAsia="Times New Roman" w:hAnsi="Courier New" w:cs="Courier New"/>
    </w:rPr>
  </w:style>
  <w:style w:type="character" w:customStyle="1" w:styleId="y2iqfc">
    <w:name w:val="y2iqfc"/>
    <w:rsid w:val="00FF2414"/>
  </w:style>
  <w:style w:type="paragraph" w:styleId="FootnoteText">
    <w:name w:val="footnote text"/>
    <w:basedOn w:val="Normal"/>
    <w:link w:val="FootnoteTextChar"/>
    <w:uiPriority w:val="99"/>
    <w:semiHidden/>
    <w:unhideWhenUsed/>
    <w:rsid w:val="00FF73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39D"/>
  </w:style>
  <w:style w:type="character" w:styleId="FootnoteReference">
    <w:name w:val="footnote reference"/>
    <w:basedOn w:val="DefaultParagraphFont"/>
    <w:uiPriority w:val="99"/>
    <w:semiHidden/>
    <w:unhideWhenUsed/>
    <w:rsid w:val="00FF739D"/>
    <w:rPr>
      <w:vertAlign w:val="superscript"/>
    </w:rPr>
  </w:style>
  <w:style w:type="paragraph" w:styleId="ListParagraph">
    <w:name w:val="List Paragraph"/>
    <w:basedOn w:val="Normal"/>
    <w:uiPriority w:val="34"/>
    <w:qFormat/>
    <w:rsid w:val="00607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99147">
      <w:bodyDiv w:val="1"/>
      <w:marLeft w:val="0"/>
      <w:marRight w:val="0"/>
      <w:marTop w:val="0"/>
      <w:marBottom w:val="0"/>
      <w:divBdr>
        <w:top w:val="none" w:sz="0" w:space="0" w:color="auto"/>
        <w:left w:val="none" w:sz="0" w:space="0" w:color="auto"/>
        <w:bottom w:val="none" w:sz="0" w:space="0" w:color="auto"/>
        <w:right w:val="none" w:sz="0" w:space="0" w:color="auto"/>
      </w:divBdr>
    </w:div>
    <w:div w:id="133135847">
      <w:bodyDiv w:val="1"/>
      <w:marLeft w:val="0"/>
      <w:marRight w:val="0"/>
      <w:marTop w:val="0"/>
      <w:marBottom w:val="0"/>
      <w:divBdr>
        <w:top w:val="none" w:sz="0" w:space="0" w:color="auto"/>
        <w:left w:val="none" w:sz="0" w:space="0" w:color="auto"/>
        <w:bottom w:val="none" w:sz="0" w:space="0" w:color="auto"/>
        <w:right w:val="none" w:sz="0" w:space="0" w:color="auto"/>
      </w:divBdr>
    </w:div>
    <w:div w:id="166288767">
      <w:bodyDiv w:val="1"/>
      <w:marLeft w:val="0"/>
      <w:marRight w:val="0"/>
      <w:marTop w:val="0"/>
      <w:marBottom w:val="0"/>
      <w:divBdr>
        <w:top w:val="none" w:sz="0" w:space="0" w:color="auto"/>
        <w:left w:val="none" w:sz="0" w:space="0" w:color="auto"/>
        <w:bottom w:val="none" w:sz="0" w:space="0" w:color="auto"/>
        <w:right w:val="none" w:sz="0" w:space="0" w:color="auto"/>
      </w:divBdr>
    </w:div>
    <w:div w:id="220336153">
      <w:bodyDiv w:val="1"/>
      <w:marLeft w:val="0"/>
      <w:marRight w:val="0"/>
      <w:marTop w:val="0"/>
      <w:marBottom w:val="0"/>
      <w:divBdr>
        <w:top w:val="none" w:sz="0" w:space="0" w:color="auto"/>
        <w:left w:val="none" w:sz="0" w:space="0" w:color="auto"/>
        <w:bottom w:val="none" w:sz="0" w:space="0" w:color="auto"/>
        <w:right w:val="none" w:sz="0" w:space="0" w:color="auto"/>
      </w:divBdr>
    </w:div>
    <w:div w:id="308444528">
      <w:bodyDiv w:val="1"/>
      <w:marLeft w:val="0"/>
      <w:marRight w:val="0"/>
      <w:marTop w:val="0"/>
      <w:marBottom w:val="0"/>
      <w:divBdr>
        <w:top w:val="none" w:sz="0" w:space="0" w:color="auto"/>
        <w:left w:val="none" w:sz="0" w:space="0" w:color="auto"/>
        <w:bottom w:val="none" w:sz="0" w:space="0" w:color="auto"/>
        <w:right w:val="none" w:sz="0" w:space="0" w:color="auto"/>
      </w:divBdr>
      <w:divsChild>
        <w:div w:id="893855580">
          <w:marLeft w:val="0"/>
          <w:marRight w:val="0"/>
          <w:marTop w:val="0"/>
          <w:marBottom w:val="0"/>
          <w:divBdr>
            <w:top w:val="none" w:sz="0" w:space="0" w:color="auto"/>
            <w:left w:val="none" w:sz="0" w:space="0" w:color="auto"/>
            <w:bottom w:val="none" w:sz="0" w:space="0" w:color="auto"/>
            <w:right w:val="none" w:sz="0" w:space="0" w:color="auto"/>
          </w:divBdr>
          <w:divsChild>
            <w:div w:id="1429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71762">
      <w:bodyDiv w:val="1"/>
      <w:marLeft w:val="0"/>
      <w:marRight w:val="0"/>
      <w:marTop w:val="0"/>
      <w:marBottom w:val="0"/>
      <w:divBdr>
        <w:top w:val="none" w:sz="0" w:space="0" w:color="auto"/>
        <w:left w:val="none" w:sz="0" w:space="0" w:color="auto"/>
        <w:bottom w:val="none" w:sz="0" w:space="0" w:color="auto"/>
        <w:right w:val="none" w:sz="0" w:space="0" w:color="auto"/>
      </w:divBdr>
    </w:div>
    <w:div w:id="426118572">
      <w:bodyDiv w:val="1"/>
      <w:marLeft w:val="0"/>
      <w:marRight w:val="0"/>
      <w:marTop w:val="0"/>
      <w:marBottom w:val="0"/>
      <w:divBdr>
        <w:top w:val="none" w:sz="0" w:space="0" w:color="auto"/>
        <w:left w:val="none" w:sz="0" w:space="0" w:color="auto"/>
        <w:bottom w:val="none" w:sz="0" w:space="0" w:color="auto"/>
        <w:right w:val="none" w:sz="0" w:space="0" w:color="auto"/>
      </w:divBdr>
    </w:div>
    <w:div w:id="429470792">
      <w:bodyDiv w:val="1"/>
      <w:marLeft w:val="0"/>
      <w:marRight w:val="0"/>
      <w:marTop w:val="0"/>
      <w:marBottom w:val="0"/>
      <w:divBdr>
        <w:top w:val="none" w:sz="0" w:space="0" w:color="auto"/>
        <w:left w:val="none" w:sz="0" w:space="0" w:color="auto"/>
        <w:bottom w:val="none" w:sz="0" w:space="0" w:color="auto"/>
        <w:right w:val="none" w:sz="0" w:space="0" w:color="auto"/>
      </w:divBdr>
    </w:div>
    <w:div w:id="442844711">
      <w:bodyDiv w:val="1"/>
      <w:marLeft w:val="0"/>
      <w:marRight w:val="0"/>
      <w:marTop w:val="0"/>
      <w:marBottom w:val="0"/>
      <w:divBdr>
        <w:top w:val="none" w:sz="0" w:space="0" w:color="auto"/>
        <w:left w:val="none" w:sz="0" w:space="0" w:color="auto"/>
        <w:bottom w:val="none" w:sz="0" w:space="0" w:color="auto"/>
        <w:right w:val="none" w:sz="0" w:space="0" w:color="auto"/>
      </w:divBdr>
    </w:div>
    <w:div w:id="508716928">
      <w:bodyDiv w:val="1"/>
      <w:marLeft w:val="0"/>
      <w:marRight w:val="0"/>
      <w:marTop w:val="0"/>
      <w:marBottom w:val="0"/>
      <w:divBdr>
        <w:top w:val="none" w:sz="0" w:space="0" w:color="auto"/>
        <w:left w:val="none" w:sz="0" w:space="0" w:color="auto"/>
        <w:bottom w:val="none" w:sz="0" w:space="0" w:color="auto"/>
        <w:right w:val="none" w:sz="0" w:space="0" w:color="auto"/>
      </w:divBdr>
    </w:div>
    <w:div w:id="574319968">
      <w:bodyDiv w:val="1"/>
      <w:marLeft w:val="0"/>
      <w:marRight w:val="0"/>
      <w:marTop w:val="0"/>
      <w:marBottom w:val="0"/>
      <w:divBdr>
        <w:top w:val="none" w:sz="0" w:space="0" w:color="auto"/>
        <w:left w:val="none" w:sz="0" w:space="0" w:color="auto"/>
        <w:bottom w:val="none" w:sz="0" w:space="0" w:color="auto"/>
        <w:right w:val="none" w:sz="0" w:space="0" w:color="auto"/>
      </w:divBdr>
    </w:div>
    <w:div w:id="594747421">
      <w:bodyDiv w:val="1"/>
      <w:marLeft w:val="0"/>
      <w:marRight w:val="0"/>
      <w:marTop w:val="0"/>
      <w:marBottom w:val="0"/>
      <w:divBdr>
        <w:top w:val="none" w:sz="0" w:space="0" w:color="auto"/>
        <w:left w:val="none" w:sz="0" w:space="0" w:color="auto"/>
        <w:bottom w:val="none" w:sz="0" w:space="0" w:color="auto"/>
        <w:right w:val="none" w:sz="0" w:space="0" w:color="auto"/>
      </w:divBdr>
    </w:div>
    <w:div w:id="620916759">
      <w:bodyDiv w:val="1"/>
      <w:marLeft w:val="0"/>
      <w:marRight w:val="0"/>
      <w:marTop w:val="0"/>
      <w:marBottom w:val="0"/>
      <w:divBdr>
        <w:top w:val="none" w:sz="0" w:space="0" w:color="auto"/>
        <w:left w:val="none" w:sz="0" w:space="0" w:color="auto"/>
        <w:bottom w:val="none" w:sz="0" w:space="0" w:color="auto"/>
        <w:right w:val="none" w:sz="0" w:space="0" w:color="auto"/>
      </w:divBdr>
    </w:div>
    <w:div w:id="641542332">
      <w:bodyDiv w:val="1"/>
      <w:marLeft w:val="0"/>
      <w:marRight w:val="0"/>
      <w:marTop w:val="0"/>
      <w:marBottom w:val="0"/>
      <w:divBdr>
        <w:top w:val="none" w:sz="0" w:space="0" w:color="auto"/>
        <w:left w:val="none" w:sz="0" w:space="0" w:color="auto"/>
        <w:bottom w:val="none" w:sz="0" w:space="0" w:color="auto"/>
        <w:right w:val="none" w:sz="0" w:space="0" w:color="auto"/>
      </w:divBdr>
    </w:div>
    <w:div w:id="643005492">
      <w:bodyDiv w:val="1"/>
      <w:marLeft w:val="0"/>
      <w:marRight w:val="0"/>
      <w:marTop w:val="0"/>
      <w:marBottom w:val="0"/>
      <w:divBdr>
        <w:top w:val="none" w:sz="0" w:space="0" w:color="auto"/>
        <w:left w:val="none" w:sz="0" w:space="0" w:color="auto"/>
        <w:bottom w:val="none" w:sz="0" w:space="0" w:color="auto"/>
        <w:right w:val="none" w:sz="0" w:space="0" w:color="auto"/>
      </w:divBdr>
    </w:div>
    <w:div w:id="703096570">
      <w:bodyDiv w:val="1"/>
      <w:marLeft w:val="0"/>
      <w:marRight w:val="0"/>
      <w:marTop w:val="0"/>
      <w:marBottom w:val="0"/>
      <w:divBdr>
        <w:top w:val="none" w:sz="0" w:space="0" w:color="auto"/>
        <w:left w:val="none" w:sz="0" w:space="0" w:color="auto"/>
        <w:bottom w:val="none" w:sz="0" w:space="0" w:color="auto"/>
        <w:right w:val="none" w:sz="0" w:space="0" w:color="auto"/>
      </w:divBdr>
    </w:div>
    <w:div w:id="719935546">
      <w:bodyDiv w:val="1"/>
      <w:marLeft w:val="0"/>
      <w:marRight w:val="0"/>
      <w:marTop w:val="0"/>
      <w:marBottom w:val="0"/>
      <w:divBdr>
        <w:top w:val="none" w:sz="0" w:space="0" w:color="auto"/>
        <w:left w:val="none" w:sz="0" w:space="0" w:color="auto"/>
        <w:bottom w:val="none" w:sz="0" w:space="0" w:color="auto"/>
        <w:right w:val="none" w:sz="0" w:space="0" w:color="auto"/>
      </w:divBdr>
    </w:div>
    <w:div w:id="727730346">
      <w:bodyDiv w:val="1"/>
      <w:marLeft w:val="0"/>
      <w:marRight w:val="0"/>
      <w:marTop w:val="0"/>
      <w:marBottom w:val="0"/>
      <w:divBdr>
        <w:top w:val="none" w:sz="0" w:space="0" w:color="auto"/>
        <w:left w:val="none" w:sz="0" w:space="0" w:color="auto"/>
        <w:bottom w:val="none" w:sz="0" w:space="0" w:color="auto"/>
        <w:right w:val="none" w:sz="0" w:space="0" w:color="auto"/>
      </w:divBdr>
    </w:div>
    <w:div w:id="767695955">
      <w:bodyDiv w:val="1"/>
      <w:marLeft w:val="0"/>
      <w:marRight w:val="0"/>
      <w:marTop w:val="0"/>
      <w:marBottom w:val="0"/>
      <w:divBdr>
        <w:top w:val="none" w:sz="0" w:space="0" w:color="auto"/>
        <w:left w:val="none" w:sz="0" w:space="0" w:color="auto"/>
        <w:bottom w:val="none" w:sz="0" w:space="0" w:color="auto"/>
        <w:right w:val="none" w:sz="0" w:space="0" w:color="auto"/>
      </w:divBdr>
    </w:div>
    <w:div w:id="795756130">
      <w:bodyDiv w:val="1"/>
      <w:marLeft w:val="0"/>
      <w:marRight w:val="0"/>
      <w:marTop w:val="0"/>
      <w:marBottom w:val="0"/>
      <w:divBdr>
        <w:top w:val="none" w:sz="0" w:space="0" w:color="auto"/>
        <w:left w:val="none" w:sz="0" w:space="0" w:color="auto"/>
        <w:bottom w:val="none" w:sz="0" w:space="0" w:color="auto"/>
        <w:right w:val="none" w:sz="0" w:space="0" w:color="auto"/>
      </w:divBdr>
    </w:div>
    <w:div w:id="803162280">
      <w:bodyDiv w:val="1"/>
      <w:marLeft w:val="0"/>
      <w:marRight w:val="0"/>
      <w:marTop w:val="0"/>
      <w:marBottom w:val="0"/>
      <w:divBdr>
        <w:top w:val="none" w:sz="0" w:space="0" w:color="auto"/>
        <w:left w:val="none" w:sz="0" w:space="0" w:color="auto"/>
        <w:bottom w:val="none" w:sz="0" w:space="0" w:color="auto"/>
        <w:right w:val="none" w:sz="0" w:space="0" w:color="auto"/>
      </w:divBdr>
    </w:div>
    <w:div w:id="835153330">
      <w:bodyDiv w:val="1"/>
      <w:marLeft w:val="0"/>
      <w:marRight w:val="0"/>
      <w:marTop w:val="0"/>
      <w:marBottom w:val="0"/>
      <w:divBdr>
        <w:top w:val="none" w:sz="0" w:space="0" w:color="auto"/>
        <w:left w:val="none" w:sz="0" w:space="0" w:color="auto"/>
        <w:bottom w:val="none" w:sz="0" w:space="0" w:color="auto"/>
        <w:right w:val="none" w:sz="0" w:space="0" w:color="auto"/>
      </w:divBdr>
    </w:div>
    <w:div w:id="890531155">
      <w:bodyDiv w:val="1"/>
      <w:marLeft w:val="0"/>
      <w:marRight w:val="0"/>
      <w:marTop w:val="0"/>
      <w:marBottom w:val="0"/>
      <w:divBdr>
        <w:top w:val="none" w:sz="0" w:space="0" w:color="auto"/>
        <w:left w:val="none" w:sz="0" w:space="0" w:color="auto"/>
        <w:bottom w:val="none" w:sz="0" w:space="0" w:color="auto"/>
        <w:right w:val="none" w:sz="0" w:space="0" w:color="auto"/>
      </w:divBdr>
    </w:div>
    <w:div w:id="972563800">
      <w:bodyDiv w:val="1"/>
      <w:marLeft w:val="0"/>
      <w:marRight w:val="0"/>
      <w:marTop w:val="0"/>
      <w:marBottom w:val="0"/>
      <w:divBdr>
        <w:top w:val="none" w:sz="0" w:space="0" w:color="auto"/>
        <w:left w:val="none" w:sz="0" w:space="0" w:color="auto"/>
        <w:bottom w:val="none" w:sz="0" w:space="0" w:color="auto"/>
        <w:right w:val="none" w:sz="0" w:space="0" w:color="auto"/>
      </w:divBdr>
    </w:div>
    <w:div w:id="979306566">
      <w:bodyDiv w:val="1"/>
      <w:marLeft w:val="0"/>
      <w:marRight w:val="0"/>
      <w:marTop w:val="0"/>
      <w:marBottom w:val="0"/>
      <w:divBdr>
        <w:top w:val="none" w:sz="0" w:space="0" w:color="auto"/>
        <w:left w:val="none" w:sz="0" w:space="0" w:color="auto"/>
        <w:bottom w:val="none" w:sz="0" w:space="0" w:color="auto"/>
        <w:right w:val="none" w:sz="0" w:space="0" w:color="auto"/>
      </w:divBdr>
      <w:divsChild>
        <w:div w:id="201329579">
          <w:marLeft w:val="0"/>
          <w:marRight w:val="0"/>
          <w:marTop w:val="0"/>
          <w:marBottom w:val="0"/>
          <w:divBdr>
            <w:top w:val="none" w:sz="0" w:space="0" w:color="auto"/>
            <w:left w:val="none" w:sz="0" w:space="0" w:color="auto"/>
            <w:bottom w:val="none" w:sz="0" w:space="0" w:color="auto"/>
            <w:right w:val="none" w:sz="0" w:space="0" w:color="auto"/>
          </w:divBdr>
          <w:divsChild>
            <w:div w:id="9722923">
              <w:marLeft w:val="0"/>
              <w:marRight w:val="0"/>
              <w:marTop w:val="0"/>
              <w:marBottom w:val="0"/>
              <w:divBdr>
                <w:top w:val="none" w:sz="0" w:space="0" w:color="auto"/>
                <w:left w:val="none" w:sz="0" w:space="0" w:color="auto"/>
                <w:bottom w:val="none" w:sz="0" w:space="0" w:color="auto"/>
                <w:right w:val="none" w:sz="0" w:space="0" w:color="auto"/>
              </w:divBdr>
            </w:div>
          </w:divsChild>
        </w:div>
        <w:div w:id="498011340">
          <w:marLeft w:val="0"/>
          <w:marRight w:val="0"/>
          <w:marTop w:val="0"/>
          <w:marBottom w:val="0"/>
          <w:divBdr>
            <w:top w:val="none" w:sz="0" w:space="0" w:color="auto"/>
            <w:left w:val="none" w:sz="0" w:space="0" w:color="auto"/>
            <w:bottom w:val="none" w:sz="0" w:space="0" w:color="auto"/>
            <w:right w:val="none" w:sz="0" w:space="0" w:color="auto"/>
          </w:divBdr>
          <w:divsChild>
            <w:div w:id="18556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4960">
      <w:bodyDiv w:val="1"/>
      <w:marLeft w:val="0"/>
      <w:marRight w:val="0"/>
      <w:marTop w:val="0"/>
      <w:marBottom w:val="0"/>
      <w:divBdr>
        <w:top w:val="none" w:sz="0" w:space="0" w:color="auto"/>
        <w:left w:val="none" w:sz="0" w:space="0" w:color="auto"/>
        <w:bottom w:val="none" w:sz="0" w:space="0" w:color="auto"/>
        <w:right w:val="none" w:sz="0" w:space="0" w:color="auto"/>
      </w:divBdr>
    </w:div>
    <w:div w:id="1021592616">
      <w:bodyDiv w:val="1"/>
      <w:marLeft w:val="0"/>
      <w:marRight w:val="0"/>
      <w:marTop w:val="0"/>
      <w:marBottom w:val="0"/>
      <w:divBdr>
        <w:top w:val="none" w:sz="0" w:space="0" w:color="auto"/>
        <w:left w:val="none" w:sz="0" w:space="0" w:color="auto"/>
        <w:bottom w:val="none" w:sz="0" w:space="0" w:color="auto"/>
        <w:right w:val="none" w:sz="0" w:space="0" w:color="auto"/>
      </w:divBdr>
    </w:div>
    <w:div w:id="1025668962">
      <w:bodyDiv w:val="1"/>
      <w:marLeft w:val="0"/>
      <w:marRight w:val="0"/>
      <w:marTop w:val="0"/>
      <w:marBottom w:val="0"/>
      <w:divBdr>
        <w:top w:val="none" w:sz="0" w:space="0" w:color="auto"/>
        <w:left w:val="none" w:sz="0" w:space="0" w:color="auto"/>
        <w:bottom w:val="none" w:sz="0" w:space="0" w:color="auto"/>
        <w:right w:val="none" w:sz="0" w:space="0" w:color="auto"/>
      </w:divBdr>
    </w:div>
    <w:div w:id="1046413492">
      <w:bodyDiv w:val="1"/>
      <w:marLeft w:val="0"/>
      <w:marRight w:val="0"/>
      <w:marTop w:val="0"/>
      <w:marBottom w:val="0"/>
      <w:divBdr>
        <w:top w:val="none" w:sz="0" w:space="0" w:color="auto"/>
        <w:left w:val="none" w:sz="0" w:space="0" w:color="auto"/>
        <w:bottom w:val="none" w:sz="0" w:space="0" w:color="auto"/>
        <w:right w:val="none" w:sz="0" w:space="0" w:color="auto"/>
      </w:divBdr>
    </w:div>
    <w:div w:id="1167749547">
      <w:bodyDiv w:val="1"/>
      <w:marLeft w:val="0"/>
      <w:marRight w:val="0"/>
      <w:marTop w:val="0"/>
      <w:marBottom w:val="0"/>
      <w:divBdr>
        <w:top w:val="none" w:sz="0" w:space="0" w:color="auto"/>
        <w:left w:val="none" w:sz="0" w:space="0" w:color="auto"/>
        <w:bottom w:val="none" w:sz="0" w:space="0" w:color="auto"/>
        <w:right w:val="none" w:sz="0" w:space="0" w:color="auto"/>
      </w:divBdr>
    </w:div>
    <w:div w:id="1209957355">
      <w:bodyDiv w:val="1"/>
      <w:marLeft w:val="0"/>
      <w:marRight w:val="0"/>
      <w:marTop w:val="0"/>
      <w:marBottom w:val="0"/>
      <w:divBdr>
        <w:top w:val="none" w:sz="0" w:space="0" w:color="auto"/>
        <w:left w:val="none" w:sz="0" w:space="0" w:color="auto"/>
        <w:bottom w:val="none" w:sz="0" w:space="0" w:color="auto"/>
        <w:right w:val="none" w:sz="0" w:space="0" w:color="auto"/>
      </w:divBdr>
    </w:div>
    <w:div w:id="1232695716">
      <w:bodyDiv w:val="1"/>
      <w:marLeft w:val="0"/>
      <w:marRight w:val="0"/>
      <w:marTop w:val="0"/>
      <w:marBottom w:val="0"/>
      <w:divBdr>
        <w:top w:val="none" w:sz="0" w:space="0" w:color="auto"/>
        <w:left w:val="none" w:sz="0" w:space="0" w:color="auto"/>
        <w:bottom w:val="none" w:sz="0" w:space="0" w:color="auto"/>
        <w:right w:val="none" w:sz="0" w:space="0" w:color="auto"/>
      </w:divBdr>
    </w:div>
    <w:div w:id="1237277286">
      <w:bodyDiv w:val="1"/>
      <w:marLeft w:val="0"/>
      <w:marRight w:val="0"/>
      <w:marTop w:val="0"/>
      <w:marBottom w:val="0"/>
      <w:divBdr>
        <w:top w:val="none" w:sz="0" w:space="0" w:color="auto"/>
        <w:left w:val="none" w:sz="0" w:space="0" w:color="auto"/>
        <w:bottom w:val="none" w:sz="0" w:space="0" w:color="auto"/>
        <w:right w:val="none" w:sz="0" w:space="0" w:color="auto"/>
      </w:divBdr>
    </w:div>
    <w:div w:id="1339770493">
      <w:bodyDiv w:val="1"/>
      <w:marLeft w:val="0"/>
      <w:marRight w:val="0"/>
      <w:marTop w:val="0"/>
      <w:marBottom w:val="0"/>
      <w:divBdr>
        <w:top w:val="none" w:sz="0" w:space="0" w:color="auto"/>
        <w:left w:val="none" w:sz="0" w:space="0" w:color="auto"/>
        <w:bottom w:val="none" w:sz="0" w:space="0" w:color="auto"/>
        <w:right w:val="none" w:sz="0" w:space="0" w:color="auto"/>
      </w:divBdr>
    </w:div>
    <w:div w:id="1373923682">
      <w:bodyDiv w:val="1"/>
      <w:marLeft w:val="0"/>
      <w:marRight w:val="0"/>
      <w:marTop w:val="0"/>
      <w:marBottom w:val="0"/>
      <w:divBdr>
        <w:top w:val="none" w:sz="0" w:space="0" w:color="auto"/>
        <w:left w:val="none" w:sz="0" w:space="0" w:color="auto"/>
        <w:bottom w:val="none" w:sz="0" w:space="0" w:color="auto"/>
        <w:right w:val="none" w:sz="0" w:space="0" w:color="auto"/>
      </w:divBdr>
    </w:div>
    <w:div w:id="1534540108">
      <w:bodyDiv w:val="1"/>
      <w:marLeft w:val="0"/>
      <w:marRight w:val="0"/>
      <w:marTop w:val="0"/>
      <w:marBottom w:val="0"/>
      <w:divBdr>
        <w:top w:val="none" w:sz="0" w:space="0" w:color="auto"/>
        <w:left w:val="none" w:sz="0" w:space="0" w:color="auto"/>
        <w:bottom w:val="none" w:sz="0" w:space="0" w:color="auto"/>
        <w:right w:val="none" w:sz="0" w:space="0" w:color="auto"/>
      </w:divBdr>
    </w:div>
    <w:div w:id="1558660101">
      <w:bodyDiv w:val="1"/>
      <w:marLeft w:val="0"/>
      <w:marRight w:val="0"/>
      <w:marTop w:val="0"/>
      <w:marBottom w:val="0"/>
      <w:divBdr>
        <w:top w:val="none" w:sz="0" w:space="0" w:color="auto"/>
        <w:left w:val="none" w:sz="0" w:space="0" w:color="auto"/>
        <w:bottom w:val="none" w:sz="0" w:space="0" w:color="auto"/>
        <w:right w:val="none" w:sz="0" w:space="0" w:color="auto"/>
      </w:divBdr>
    </w:div>
    <w:div w:id="1565094848">
      <w:bodyDiv w:val="1"/>
      <w:marLeft w:val="0"/>
      <w:marRight w:val="0"/>
      <w:marTop w:val="0"/>
      <w:marBottom w:val="0"/>
      <w:divBdr>
        <w:top w:val="none" w:sz="0" w:space="0" w:color="auto"/>
        <w:left w:val="none" w:sz="0" w:space="0" w:color="auto"/>
        <w:bottom w:val="none" w:sz="0" w:space="0" w:color="auto"/>
        <w:right w:val="none" w:sz="0" w:space="0" w:color="auto"/>
      </w:divBdr>
    </w:div>
    <w:div w:id="1578858564">
      <w:bodyDiv w:val="1"/>
      <w:marLeft w:val="0"/>
      <w:marRight w:val="0"/>
      <w:marTop w:val="0"/>
      <w:marBottom w:val="0"/>
      <w:divBdr>
        <w:top w:val="none" w:sz="0" w:space="0" w:color="auto"/>
        <w:left w:val="none" w:sz="0" w:space="0" w:color="auto"/>
        <w:bottom w:val="none" w:sz="0" w:space="0" w:color="auto"/>
        <w:right w:val="none" w:sz="0" w:space="0" w:color="auto"/>
      </w:divBdr>
    </w:div>
    <w:div w:id="1686664397">
      <w:bodyDiv w:val="1"/>
      <w:marLeft w:val="0"/>
      <w:marRight w:val="0"/>
      <w:marTop w:val="0"/>
      <w:marBottom w:val="0"/>
      <w:divBdr>
        <w:top w:val="none" w:sz="0" w:space="0" w:color="auto"/>
        <w:left w:val="none" w:sz="0" w:space="0" w:color="auto"/>
        <w:bottom w:val="none" w:sz="0" w:space="0" w:color="auto"/>
        <w:right w:val="none" w:sz="0" w:space="0" w:color="auto"/>
      </w:divBdr>
      <w:divsChild>
        <w:div w:id="752821840">
          <w:marLeft w:val="0"/>
          <w:marRight w:val="0"/>
          <w:marTop w:val="0"/>
          <w:marBottom w:val="0"/>
          <w:divBdr>
            <w:top w:val="none" w:sz="0" w:space="0" w:color="auto"/>
            <w:left w:val="none" w:sz="0" w:space="0" w:color="auto"/>
            <w:bottom w:val="none" w:sz="0" w:space="0" w:color="auto"/>
            <w:right w:val="none" w:sz="0" w:space="0" w:color="auto"/>
          </w:divBdr>
        </w:div>
      </w:divsChild>
    </w:div>
    <w:div w:id="1699311959">
      <w:bodyDiv w:val="1"/>
      <w:marLeft w:val="0"/>
      <w:marRight w:val="0"/>
      <w:marTop w:val="0"/>
      <w:marBottom w:val="0"/>
      <w:divBdr>
        <w:top w:val="none" w:sz="0" w:space="0" w:color="auto"/>
        <w:left w:val="none" w:sz="0" w:space="0" w:color="auto"/>
        <w:bottom w:val="none" w:sz="0" w:space="0" w:color="auto"/>
        <w:right w:val="none" w:sz="0" w:space="0" w:color="auto"/>
      </w:divBdr>
    </w:div>
    <w:div w:id="1712487168">
      <w:bodyDiv w:val="1"/>
      <w:marLeft w:val="0"/>
      <w:marRight w:val="0"/>
      <w:marTop w:val="0"/>
      <w:marBottom w:val="0"/>
      <w:divBdr>
        <w:top w:val="none" w:sz="0" w:space="0" w:color="auto"/>
        <w:left w:val="none" w:sz="0" w:space="0" w:color="auto"/>
        <w:bottom w:val="none" w:sz="0" w:space="0" w:color="auto"/>
        <w:right w:val="none" w:sz="0" w:space="0" w:color="auto"/>
      </w:divBdr>
    </w:div>
    <w:div w:id="1749495593">
      <w:bodyDiv w:val="1"/>
      <w:marLeft w:val="0"/>
      <w:marRight w:val="0"/>
      <w:marTop w:val="0"/>
      <w:marBottom w:val="0"/>
      <w:divBdr>
        <w:top w:val="none" w:sz="0" w:space="0" w:color="auto"/>
        <w:left w:val="none" w:sz="0" w:space="0" w:color="auto"/>
        <w:bottom w:val="none" w:sz="0" w:space="0" w:color="auto"/>
        <w:right w:val="none" w:sz="0" w:space="0" w:color="auto"/>
      </w:divBdr>
    </w:div>
    <w:div w:id="1762942755">
      <w:bodyDiv w:val="1"/>
      <w:marLeft w:val="0"/>
      <w:marRight w:val="0"/>
      <w:marTop w:val="0"/>
      <w:marBottom w:val="0"/>
      <w:divBdr>
        <w:top w:val="none" w:sz="0" w:space="0" w:color="auto"/>
        <w:left w:val="none" w:sz="0" w:space="0" w:color="auto"/>
        <w:bottom w:val="none" w:sz="0" w:space="0" w:color="auto"/>
        <w:right w:val="none" w:sz="0" w:space="0" w:color="auto"/>
      </w:divBdr>
    </w:div>
    <w:div w:id="1883203511">
      <w:bodyDiv w:val="1"/>
      <w:marLeft w:val="0"/>
      <w:marRight w:val="0"/>
      <w:marTop w:val="0"/>
      <w:marBottom w:val="0"/>
      <w:divBdr>
        <w:top w:val="none" w:sz="0" w:space="0" w:color="auto"/>
        <w:left w:val="none" w:sz="0" w:space="0" w:color="auto"/>
        <w:bottom w:val="none" w:sz="0" w:space="0" w:color="auto"/>
        <w:right w:val="none" w:sz="0" w:space="0" w:color="auto"/>
      </w:divBdr>
    </w:div>
    <w:div w:id="1945306049">
      <w:bodyDiv w:val="1"/>
      <w:marLeft w:val="0"/>
      <w:marRight w:val="0"/>
      <w:marTop w:val="0"/>
      <w:marBottom w:val="0"/>
      <w:divBdr>
        <w:top w:val="none" w:sz="0" w:space="0" w:color="auto"/>
        <w:left w:val="none" w:sz="0" w:space="0" w:color="auto"/>
        <w:bottom w:val="none" w:sz="0" w:space="0" w:color="auto"/>
        <w:right w:val="none" w:sz="0" w:space="0" w:color="auto"/>
      </w:divBdr>
    </w:div>
    <w:div w:id="1995332650">
      <w:bodyDiv w:val="1"/>
      <w:marLeft w:val="0"/>
      <w:marRight w:val="0"/>
      <w:marTop w:val="0"/>
      <w:marBottom w:val="0"/>
      <w:divBdr>
        <w:top w:val="none" w:sz="0" w:space="0" w:color="auto"/>
        <w:left w:val="none" w:sz="0" w:space="0" w:color="auto"/>
        <w:bottom w:val="none" w:sz="0" w:space="0" w:color="auto"/>
        <w:right w:val="none" w:sz="0" w:space="0" w:color="auto"/>
      </w:divBdr>
    </w:div>
    <w:div w:id="2037999031">
      <w:bodyDiv w:val="1"/>
      <w:marLeft w:val="0"/>
      <w:marRight w:val="0"/>
      <w:marTop w:val="0"/>
      <w:marBottom w:val="0"/>
      <w:divBdr>
        <w:top w:val="none" w:sz="0" w:space="0" w:color="auto"/>
        <w:left w:val="none" w:sz="0" w:space="0" w:color="auto"/>
        <w:bottom w:val="none" w:sz="0" w:space="0" w:color="auto"/>
        <w:right w:val="none" w:sz="0" w:space="0" w:color="auto"/>
      </w:divBdr>
    </w:div>
    <w:div w:id="2101217952">
      <w:bodyDiv w:val="1"/>
      <w:marLeft w:val="0"/>
      <w:marRight w:val="0"/>
      <w:marTop w:val="0"/>
      <w:marBottom w:val="0"/>
      <w:divBdr>
        <w:top w:val="none" w:sz="0" w:space="0" w:color="auto"/>
        <w:left w:val="none" w:sz="0" w:space="0" w:color="auto"/>
        <w:bottom w:val="none" w:sz="0" w:space="0" w:color="auto"/>
        <w:right w:val="none" w:sz="0" w:space="0" w:color="auto"/>
      </w:divBdr>
    </w:div>
    <w:div w:id="214422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tf-gafi.org/content/fatf-gafi/en/publications/High-risk-and-other-monitored-jurisdictions/Call-for-action-february-202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tf-gafi.org/content/fatf-gafi/en/publications/High-risk-and-other-monitored-jurisdictions/increased-monitoring-february-2026.html" TargetMode="External"/><Relationship Id="rId4" Type="http://schemas.openxmlformats.org/officeDocument/2006/relationships/settings" Target="settings.xml"/><Relationship Id="rId9" Type="http://schemas.openxmlformats.org/officeDocument/2006/relationships/hyperlink" Target="https://www.fatf-gafi.org/en/publications/High-risk-and-other-monitored-jurisdictions/Call-for-action-october-2024.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atf-gafi.org/content/fatf-gafi/en/publications/High-risk-and-other-monitored-jurisdictions/increased-monitoring-february-20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59749-E446-4DEC-821B-91A88A5E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Uprava za sprecavanje pranja novca</Company>
  <LinksUpToDate>false</LinksUpToDate>
  <CharactersWithSpaces>14787</CharactersWithSpaces>
  <SharedDoc>false</SharedDoc>
  <HLinks>
    <vt:vector size="42" baseType="variant">
      <vt:variant>
        <vt:i4>5111815</vt:i4>
      </vt:variant>
      <vt:variant>
        <vt:i4>18</vt:i4>
      </vt:variant>
      <vt:variant>
        <vt:i4>0</vt:i4>
      </vt:variant>
      <vt:variant>
        <vt:i4>5</vt:i4>
      </vt:variant>
      <vt:variant>
        <vt:lpwstr>https://www.fatf-gafi.org/en/publications/High-risk-and-other-monitored-jurisdictions/increased-monitoring-october-2024.html</vt:lpwstr>
      </vt:variant>
      <vt:variant>
        <vt:lpwstr/>
      </vt:variant>
      <vt:variant>
        <vt:i4>7864433</vt:i4>
      </vt:variant>
      <vt:variant>
        <vt:i4>15</vt:i4>
      </vt:variant>
      <vt:variant>
        <vt:i4>0</vt:i4>
      </vt:variant>
      <vt:variant>
        <vt:i4>5</vt:i4>
      </vt:variant>
      <vt:variant>
        <vt:lpwstr>https://oecd-my.sharepoint.com/personal/clare_ohare-darmagnac_fatf-gafi_org/Documents/Desktop/PLENARY/June 2024/ICRG.docx</vt:lpwstr>
      </vt:variant>
      <vt:variant>
        <vt:lpwstr>_ftnref2</vt:lpwstr>
      </vt:variant>
      <vt:variant>
        <vt:i4>8061041</vt:i4>
      </vt:variant>
      <vt:variant>
        <vt:i4>12</vt:i4>
      </vt:variant>
      <vt:variant>
        <vt:i4>0</vt:i4>
      </vt:variant>
      <vt:variant>
        <vt:i4>5</vt:i4>
      </vt:variant>
      <vt:variant>
        <vt:lpwstr>https://oecd-my.sharepoint.com/personal/clare_ohare-darmagnac_fatf-gafi_org/Documents/Desktop/PLENARY/June 2024/ICRG.docx</vt:lpwstr>
      </vt:variant>
      <vt:variant>
        <vt:lpwstr>_ftnref1</vt:lpwstr>
      </vt:variant>
      <vt:variant>
        <vt:i4>2752553</vt:i4>
      </vt:variant>
      <vt:variant>
        <vt:i4>9</vt:i4>
      </vt:variant>
      <vt:variant>
        <vt:i4>0</vt:i4>
      </vt:variant>
      <vt:variant>
        <vt:i4>5</vt:i4>
      </vt:variant>
      <vt:variant>
        <vt:lpwstr>https://www.fatf-gafi.org/en/publications/High-risk-and-other-monitored-jurisdictions/Call-for-action-october-2024.html</vt:lpwstr>
      </vt:variant>
      <vt:variant>
        <vt:lpwstr/>
      </vt:variant>
      <vt:variant>
        <vt:i4>3080293</vt:i4>
      </vt:variant>
      <vt:variant>
        <vt:i4>6</vt:i4>
      </vt:variant>
      <vt:variant>
        <vt:i4>0</vt:i4>
      </vt:variant>
      <vt:variant>
        <vt:i4>5</vt:i4>
      </vt:variant>
      <vt:variant>
        <vt:lpwstr>https://oecd-my.sharepoint.com/personal/clare_ohare-darmagnac_fatf-gafi_org/Documents/Desktop/PLENARY/June 2024/ICRG.docx</vt:lpwstr>
      </vt:variant>
      <vt:variant>
        <vt:lpwstr>_ftn2</vt:lpwstr>
      </vt:variant>
      <vt:variant>
        <vt:i4>7471206</vt:i4>
      </vt:variant>
      <vt:variant>
        <vt:i4>3</vt:i4>
      </vt:variant>
      <vt:variant>
        <vt:i4>0</vt:i4>
      </vt:variant>
      <vt:variant>
        <vt:i4>5</vt:i4>
      </vt:variant>
      <vt:variant>
        <vt:lpwstr>https://oecd-my.sharepoint.com/personal/clare_ohare-darmagnac_fatf-gafi_org/Documents/Desktop/PLENARY/October 2024/Public Statements.docx</vt:lpwstr>
      </vt:variant>
      <vt:variant>
        <vt:lpwstr>_ftn1</vt:lpwstr>
      </vt:variant>
      <vt:variant>
        <vt:i4>2752553</vt:i4>
      </vt:variant>
      <vt:variant>
        <vt:i4>0</vt:i4>
      </vt:variant>
      <vt:variant>
        <vt:i4>0</vt:i4>
      </vt:variant>
      <vt:variant>
        <vt:i4>5</vt:i4>
      </vt:variant>
      <vt:variant>
        <vt:lpwstr>https://www.fatf-gafi.org/en/publications/High-risk-and-other-monitored-jurisdictions/Call-for-action-october-2024.html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jovanav</dc:creator>
  <cp:keywords/>
  <dc:description/>
  <cp:lastModifiedBy>Republic of Serbia</cp:lastModifiedBy>
  <cp:revision>3</cp:revision>
  <dcterms:created xsi:type="dcterms:W3CDTF">2026-02-19T09:15:00Z</dcterms:created>
  <dcterms:modified xsi:type="dcterms:W3CDTF">2026-02-19T10:19:00Z</dcterms:modified>
</cp:coreProperties>
</file>